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341" w:tblpY="1"/>
        <w:tblW w:w="7225"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shd w:val="clear" w:color="auto" w:fill="004B88"/>
        <w:tblLook w:val="0000" w:firstRow="0" w:lastRow="0" w:firstColumn="0" w:lastColumn="0" w:noHBand="0" w:noVBand="0"/>
      </w:tblPr>
      <w:tblGrid>
        <w:gridCol w:w="7225"/>
      </w:tblGrid>
      <w:tr w:rsidR="00AC19D4" w:rsidRPr="00553679" w14:paraId="0FD89D24" w14:textId="77777777" w:rsidTr="00D4730D">
        <w:trPr>
          <w:trHeight w:val="1080"/>
        </w:trPr>
        <w:tc>
          <w:tcPr>
            <w:tcW w:w="7225" w:type="dxa"/>
            <w:shd w:val="clear" w:color="auto" w:fill="004B88"/>
            <w:vAlign w:val="center"/>
          </w:tcPr>
          <w:p w14:paraId="5523E822" w14:textId="007C08D1" w:rsidR="0026761F" w:rsidRPr="00553679" w:rsidRDefault="00D14DF3" w:rsidP="00653E20">
            <w:pPr>
              <w:pStyle w:val="NormalWeb"/>
              <w:spacing w:before="0" w:beforeAutospacing="0" w:after="0" w:afterAutospacing="0"/>
              <w:ind w:left="540"/>
              <w:rPr>
                <w:rFonts w:ascii="Open Sans" w:hAnsi="Open Sans" w:cs="Open Sans"/>
                <w:b/>
                <w:bCs/>
                <w:color w:val="FFFFFF"/>
                <w:sz w:val="22"/>
                <w:szCs w:val="22"/>
                <w:lang w:val="en-GB"/>
              </w:rPr>
            </w:pPr>
            <w:bookmarkStart w:id="0" w:name="_GoBack"/>
            <w:bookmarkEnd w:id="0"/>
            <w:r>
              <w:rPr>
                <w:rFonts w:ascii="Open Sans" w:hAnsi="Open Sans" w:cs="Open Sans"/>
                <w:b/>
                <w:bCs/>
                <w:color w:val="FFFFFF"/>
                <w:sz w:val="22"/>
                <w:szCs w:val="22"/>
                <w:lang w:val="en-GB"/>
              </w:rPr>
              <w:t>Money Advice</w:t>
            </w:r>
            <w:r w:rsidR="00553679" w:rsidRPr="00553679">
              <w:rPr>
                <w:rFonts w:ascii="Open Sans" w:hAnsi="Open Sans" w:cs="Open Sans"/>
                <w:b/>
                <w:bCs/>
                <w:color w:val="FFFFFF"/>
                <w:sz w:val="22"/>
                <w:szCs w:val="22"/>
                <w:lang w:val="en-GB"/>
              </w:rPr>
              <w:t xml:space="preserve"> Team Leade</w:t>
            </w:r>
            <w:r w:rsidR="00443415">
              <w:rPr>
                <w:rFonts w:ascii="Open Sans" w:hAnsi="Open Sans" w:cs="Open Sans"/>
                <w:b/>
                <w:bCs/>
                <w:color w:val="FFFFFF"/>
                <w:sz w:val="22"/>
                <w:szCs w:val="22"/>
                <w:lang w:val="en-GB"/>
              </w:rPr>
              <w:t>r</w:t>
            </w:r>
          </w:p>
          <w:p w14:paraId="5D8D468E" w14:textId="77777777" w:rsidR="002A1EE0" w:rsidRPr="00553679" w:rsidRDefault="002A1EE0" w:rsidP="00653E20">
            <w:pPr>
              <w:pStyle w:val="NormalWeb"/>
              <w:spacing w:before="0" w:beforeAutospacing="0" w:after="0" w:afterAutospacing="0"/>
              <w:ind w:left="540"/>
              <w:rPr>
                <w:rFonts w:ascii="Open Sans" w:hAnsi="Open Sans" w:cs="Open Sans"/>
                <w:b/>
                <w:bCs/>
                <w:color w:val="FFFFFF"/>
                <w:sz w:val="22"/>
                <w:szCs w:val="22"/>
                <w:lang w:val="en-GB"/>
              </w:rPr>
            </w:pPr>
            <w:r w:rsidRPr="00553679">
              <w:rPr>
                <w:rFonts w:ascii="Open Sans" w:hAnsi="Open Sans" w:cs="Open Sans"/>
                <w:b/>
                <w:bCs/>
                <w:color w:val="FFFFFF"/>
                <w:sz w:val="22"/>
                <w:szCs w:val="22"/>
                <w:lang w:val="en-GB"/>
              </w:rPr>
              <w:t>Job description &amp; Personal Specification</w:t>
            </w:r>
          </w:p>
        </w:tc>
      </w:tr>
    </w:tbl>
    <w:p w14:paraId="0411229B" w14:textId="77777777" w:rsidR="002A1EE0" w:rsidRPr="00553679" w:rsidRDefault="00D4730D" w:rsidP="00993146">
      <w:pPr>
        <w:pStyle w:val="NormalWeb"/>
        <w:rPr>
          <w:rFonts w:ascii="Open Sans" w:hAnsi="Open Sans" w:cs="Open Sans"/>
          <w:b/>
          <w:bCs/>
          <w:color w:val="004B88"/>
          <w:sz w:val="22"/>
          <w:szCs w:val="22"/>
          <w:lang w:val="en-GB"/>
        </w:rPr>
      </w:pPr>
      <w:r w:rsidRPr="00553679">
        <w:rPr>
          <w:rFonts w:ascii="Open Sans" w:hAnsi="Open Sans" w:cs="Open Sans"/>
          <w:b/>
          <w:bCs/>
          <w:noProof/>
          <w:color w:val="004B88"/>
          <w:sz w:val="22"/>
          <w:szCs w:val="22"/>
          <w:lang w:val="en-GB" w:eastAsia="en-GB"/>
        </w:rPr>
        <mc:AlternateContent>
          <mc:Choice Requires="wps">
            <w:drawing>
              <wp:anchor distT="0" distB="0" distL="114300" distR="114300" simplePos="0" relativeHeight="251659264" behindDoc="0" locked="0" layoutInCell="1" allowOverlap="1" wp14:anchorId="1ED1A0F4" wp14:editId="625F2888">
                <wp:simplePos x="0" y="0"/>
                <wp:positionH relativeFrom="column">
                  <wp:posOffset>-120015</wp:posOffset>
                </wp:positionH>
                <wp:positionV relativeFrom="page">
                  <wp:posOffset>733425</wp:posOffset>
                </wp:positionV>
                <wp:extent cx="1543050" cy="7016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543050" cy="701675"/>
                        </a:xfrm>
                        <a:prstGeom prst="rect">
                          <a:avLst/>
                        </a:prstGeom>
                        <a:solidFill>
                          <a:schemeClr val="lt1"/>
                        </a:solidFill>
                        <a:ln w="6350">
                          <a:noFill/>
                        </a:ln>
                      </wps:spPr>
                      <wps:txbx>
                        <w:txbxContent>
                          <w:p w14:paraId="6E5C72EE" w14:textId="77777777" w:rsidR="00D4730D" w:rsidRDefault="00D4730D">
                            <w:r w:rsidRPr="00AC19D4">
                              <w:rPr>
                                <w:rFonts w:ascii="Open Sans" w:hAnsi="Open Sans" w:cs="Open Sans"/>
                                <w:b/>
                                <w:bCs/>
                                <w:noProof/>
                                <w:color w:val="004B88"/>
                                <w:sz w:val="22"/>
                                <w:szCs w:val="22"/>
                              </w:rPr>
                              <w:drawing>
                                <wp:inline distT="0" distB="0" distL="0" distR="0" wp14:anchorId="4BE4C827" wp14:editId="22DF61BA">
                                  <wp:extent cx="1608228" cy="585216"/>
                                  <wp:effectExtent l="0" t="0" r="0" b="571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296" cy="601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D1A0F4" id="_x0000_t202" coordsize="21600,21600" o:spt="202" path="m,l,21600r21600,l21600,xe">
                <v:stroke joinstyle="miter"/>
                <v:path gradientshapeok="t" o:connecttype="rect"/>
              </v:shapetype>
              <v:shape id="Text Box 2" o:spid="_x0000_s1026" type="#_x0000_t202" style="position:absolute;margin-left:-9.45pt;margin-top:57.75pt;width:121.5pt;height:55.2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" fillcolor="white [3201]" stroked="f" strokeweight=".5pt">
                <v:textbox>
                  <w:txbxContent>
                    <w:p w14:paraId="6E5C72EE" w14:textId="77777777" w:rsidR="00D4730D" w:rsidRDefault="00D4730D">
                      <w:r w:rsidRPr="00AC19D4">
                        <w:rPr>
                          <w:rFonts w:ascii="Open Sans" w:hAnsi="Open Sans" w:cs="Open Sans"/>
                          <w:b/>
                          <w:bCs/>
                          <w:noProof/>
                          <w:color w:val="004B88"/>
                          <w:sz w:val="22"/>
                          <w:szCs w:val="22"/>
                        </w:rPr>
                        <w:drawing>
                          <wp:inline distT="0" distB="0" distL="0" distR="0" wp14:anchorId="4BE4C827" wp14:editId="22DF61BA">
                            <wp:extent cx="1608228" cy="585216"/>
                            <wp:effectExtent l="0" t="0" r="0" b="571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296" cy="601616"/>
                                    </a:xfrm>
                                    <a:prstGeom prst="rect">
                                      <a:avLst/>
                                    </a:prstGeom>
                                    <a:noFill/>
                                    <a:ln>
                                      <a:noFill/>
                                    </a:ln>
                                  </pic:spPr>
                                </pic:pic>
                              </a:graphicData>
                            </a:graphic>
                          </wp:inline>
                        </w:drawing>
                      </w:r>
                    </w:p>
                  </w:txbxContent>
                </v:textbox>
                <w10:wrap anchory="page"/>
              </v:shape>
            </w:pict>
          </mc:Fallback>
        </mc:AlternateContent>
      </w:r>
    </w:p>
    <w:p w14:paraId="20695473" w14:textId="77777777" w:rsidR="00D4730D" w:rsidRPr="00553679" w:rsidRDefault="00D4730D" w:rsidP="00993146">
      <w:pPr>
        <w:pStyle w:val="NormalWeb"/>
        <w:rPr>
          <w:rFonts w:ascii="Open Sans" w:hAnsi="Open Sans" w:cs="Open Sans"/>
          <w:b/>
          <w:bCs/>
          <w:color w:val="004B88"/>
          <w:sz w:val="22"/>
          <w:szCs w:val="22"/>
          <w:lang w:val="en-GB"/>
        </w:rPr>
      </w:pPr>
    </w:p>
    <w:p w14:paraId="03D985D7" w14:textId="77777777" w:rsidR="00D4730D" w:rsidRPr="00553679" w:rsidRDefault="00D4730D" w:rsidP="00993146">
      <w:pPr>
        <w:pStyle w:val="NormalWeb"/>
        <w:rPr>
          <w:rFonts w:ascii="Open Sans" w:hAnsi="Open Sans" w:cs="Open Sans"/>
          <w:b/>
          <w:bCs/>
          <w:color w:val="004B88"/>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6469"/>
        <w:gridCol w:w="1276"/>
        <w:gridCol w:w="1269"/>
      </w:tblGrid>
      <w:tr w:rsidR="00AC19D4" w:rsidRPr="00553679" w14:paraId="07F7F629" w14:textId="77777777" w:rsidTr="0E72825D">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vAlign w:val="center"/>
          </w:tcPr>
          <w:p w14:paraId="57852B63" w14:textId="379AEE7C" w:rsidR="005035FB" w:rsidRPr="005035FB" w:rsidRDefault="00FD397D" w:rsidP="00747D9E">
            <w:pPr>
              <w:pStyle w:val="NormalWeb"/>
              <w:spacing w:before="0" w:beforeAutospacing="0" w:after="0" w:afterAutospacing="0"/>
              <w:rPr>
                <w:rFonts w:ascii="Open Sans" w:hAnsi="Open Sans" w:cs="Open Sans"/>
                <w:bCs/>
                <w:color w:val="FFFFFF"/>
                <w:sz w:val="22"/>
                <w:szCs w:val="22"/>
                <w:lang w:val="en-GB"/>
              </w:rPr>
            </w:pPr>
            <w:r w:rsidRPr="00553679">
              <w:rPr>
                <w:rFonts w:ascii="Open Sans" w:hAnsi="Open Sans" w:cs="Open Sans"/>
                <w:b/>
                <w:bCs/>
                <w:color w:val="FFFFFF"/>
                <w:sz w:val="22"/>
                <w:szCs w:val="22"/>
                <w:lang w:val="en-GB"/>
              </w:rPr>
              <w:t>Reporting</w:t>
            </w:r>
            <w:r w:rsidR="00BF7478" w:rsidRPr="00553679">
              <w:rPr>
                <w:rFonts w:ascii="Open Sans" w:hAnsi="Open Sans" w:cs="Open Sans"/>
                <w:b/>
                <w:bCs/>
                <w:color w:val="FFFFFF"/>
                <w:sz w:val="22"/>
                <w:szCs w:val="22"/>
                <w:lang w:val="en-GB"/>
              </w:rPr>
              <w:t xml:space="preserve"> to:</w:t>
            </w:r>
            <w:r w:rsidR="00BF7478" w:rsidRPr="00553679">
              <w:rPr>
                <w:rFonts w:ascii="Open Sans" w:hAnsi="Open Sans" w:cs="Open Sans"/>
                <w:bCs/>
                <w:color w:val="FFFFFF"/>
                <w:sz w:val="22"/>
                <w:szCs w:val="22"/>
                <w:lang w:val="en-GB"/>
              </w:rPr>
              <w:t xml:space="preserve"> </w:t>
            </w:r>
            <w:r w:rsidR="0045369F" w:rsidRPr="00553679">
              <w:rPr>
                <w:rFonts w:ascii="Open Sans" w:hAnsi="Open Sans" w:cs="Open Sans"/>
                <w:bCs/>
                <w:color w:val="FFFFFF"/>
                <w:sz w:val="22"/>
                <w:szCs w:val="22"/>
                <w:lang w:val="en-GB"/>
              </w:rPr>
              <w:t xml:space="preserve"> </w:t>
            </w:r>
            <w:r w:rsidR="008733DF" w:rsidRPr="00553679">
              <w:rPr>
                <w:rFonts w:ascii="Open Sans" w:hAnsi="Open Sans" w:cs="Open Sans"/>
                <w:bCs/>
                <w:color w:val="FFFFFF"/>
                <w:sz w:val="22"/>
                <w:szCs w:val="22"/>
                <w:lang w:val="en-GB"/>
              </w:rPr>
              <w:t xml:space="preserve">Advice Services </w:t>
            </w:r>
            <w:r w:rsidR="00747D9E" w:rsidRPr="00553679">
              <w:rPr>
                <w:rFonts w:ascii="Open Sans" w:hAnsi="Open Sans" w:cs="Open Sans"/>
                <w:bCs/>
                <w:color w:val="FFFFFF"/>
                <w:sz w:val="22"/>
                <w:szCs w:val="22"/>
                <w:lang w:val="en-GB"/>
              </w:rPr>
              <w:t>Manager</w:t>
            </w:r>
            <w:r w:rsidR="006F05AF" w:rsidRPr="00553679">
              <w:rPr>
                <w:rFonts w:ascii="Open Sans" w:hAnsi="Open Sans" w:cs="Open Sans"/>
                <w:bCs/>
                <w:color w:val="FFFFFF"/>
                <w:sz w:val="22"/>
                <w:szCs w:val="22"/>
                <w:lang w:val="en-GB"/>
              </w:rPr>
              <w:t xml:space="preserve"> </w:t>
            </w:r>
          </w:p>
          <w:p w14:paraId="7C5C9CCA" w14:textId="77777777" w:rsidR="00747D9E" w:rsidRPr="00553679" w:rsidRDefault="00747D9E" w:rsidP="00747D9E">
            <w:pPr>
              <w:pStyle w:val="NormalWeb"/>
              <w:spacing w:before="0" w:beforeAutospacing="0" w:after="0" w:afterAutospacing="0"/>
              <w:rPr>
                <w:rFonts w:ascii="Open Sans" w:hAnsi="Open Sans" w:cs="Open Sans"/>
                <w:bCs/>
                <w:color w:val="FFFFFF"/>
                <w:sz w:val="22"/>
                <w:szCs w:val="22"/>
                <w:lang w:val="en-GB"/>
              </w:rPr>
            </w:pPr>
          </w:p>
        </w:tc>
      </w:tr>
      <w:tr w:rsidR="00AC19D4" w:rsidRPr="00553679" w14:paraId="46334951" w14:textId="77777777" w:rsidTr="0E72825D">
        <w:trPr>
          <w:trHeight w:val="1445"/>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51162890" w14:textId="77777777" w:rsidR="005035FB" w:rsidRDefault="00E87788" w:rsidP="008733DF">
            <w:pPr>
              <w:pStyle w:val="NormalWeb"/>
              <w:rPr>
                <w:rFonts w:ascii="Open Sans" w:hAnsi="Open Sans" w:cs="Open Sans"/>
                <w:b/>
                <w:bCs/>
                <w:color w:val="FFFFFF"/>
                <w:sz w:val="22"/>
                <w:szCs w:val="22"/>
                <w:lang w:val="en-GB"/>
              </w:rPr>
            </w:pPr>
            <w:r w:rsidRPr="00553679">
              <w:rPr>
                <w:rFonts w:ascii="Open Sans" w:hAnsi="Open Sans" w:cs="Open Sans"/>
                <w:b/>
                <w:bCs/>
                <w:color w:val="FFFFFF"/>
                <w:sz w:val="22"/>
                <w:szCs w:val="22"/>
                <w:lang w:val="en-GB"/>
              </w:rPr>
              <w:t xml:space="preserve">Purpose of role: </w:t>
            </w:r>
          </w:p>
          <w:p w14:paraId="4E5F2D6B" w14:textId="36D3C766" w:rsidR="005035FB" w:rsidRPr="00D14DF3" w:rsidRDefault="005035FB" w:rsidP="00D14DF3">
            <w:pPr>
              <w:pStyle w:val="NormalWeb"/>
              <w:numPr>
                <w:ilvl w:val="0"/>
                <w:numId w:val="41"/>
              </w:numPr>
              <w:rPr>
                <w:rFonts w:ascii="Open Sans" w:hAnsi="Open Sans" w:cs="Open Sans"/>
                <w:bCs/>
                <w:color w:val="FFFFFF"/>
                <w:sz w:val="22"/>
                <w:szCs w:val="22"/>
                <w:lang w:val="en-GB"/>
              </w:rPr>
            </w:pPr>
            <w:r>
              <w:rPr>
                <w:rFonts w:ascii="Open Sans" w:hAnsi="Open Sans" w:cs="Open Sans"/>
                <w:bCs/>
                <w:color w:val="FFFFFF"/>
                <w:sz w:val="22"/>
                <w:szCs w:val="22"/>
                <w:lang w:val="en-GB"/>
              </w:rPr>
              <w:t xml:space="preserve">To lead, coordinate and develop the </w:t>
            </w:r>
            <w:r w:rsidR="00D14DF3">
              <w:rPr>
                <w:rFonts w:ascii="Open Sans" w:hAnsi="Open Sans" w:cs="Open Sans"/>
                <w:bCs/>
                <w:color w:val="FFFFFF"/>
                <w:sz w:val="22"/>
                <w:szCs w:val="22"/>
                <w:lang w:val="en-GB"/>
              </w:rPr>
              <w:t>Money Advice</w:t>
            </w:r>
            <w:r>
              <w:rPr>
                <w:rFonts w:ascii="Open Sans" w:hAnsi="Open Sans" w:cs="Open Sans"/>
                <w:bCs/>
                <w:color w:val="FFFFFF"/>
                <w:sz w:val="22"/>
                <w:szCs w:val="22"/>
                <w:lang w:val="en-GB"/>
              </w:rPr>
              <w:t xml:space="preserve"> team, working with bo</w:t>
            </w:r>
            <w:r w:rsidR="00D14DF3">
              <w:rPr>
                <w:rFonts w:ascii="Open Sans" w:hAnsi="Open Sans" w:cs="Open Sans"/>
                <w:bCs/>
                <w:color w:val="FFFFFF"/>
                <w:sz w:val="22"/>
                <w:szCs w:val="22"/>
                <w:lang w:val="en-GB"/>
              </w:rPr>
              <w:t xml:space="preserve">th paid and volunteer advisers </w:t>
            </w:r>
            <w:r w:rsidR="00D14DF3" w:rsidRPr="00D14DF3">
              <w:rPr>
                <w:rFonts w:ascii="Open Sans" w:hAnsi="Open Sans" w:cs="Open Sans"/>
                <w:bCs/>
                <w:color w:val="FFFFFF"/>
                <w:sz w:val="22"/>
                <w:szCs w:val="22"/>
                <w:lang w:val="en-GB"/>
              </w:rPr>
              <w:t>ensuring that the</w:t>
            </w:r>
            <w:r w:rsidR="00D14DF3">
              <w:rPr>
                <w:rFonts w:ascii="Open Sans" w:hAnsi="Open Sans" w:cs="Open Sans"/>
                <w:bCs/>
                <w:color w:val="FFFFFF"/>
                <w:sz w:val="22"/>
                <w:szCs w:val="22"/>
                <w:lang w:val="en-GB"/>
              </w:rPr>
              <w:t xml:space="preserve"> </w:t>
            </w:r>
            <w:r w:rsidR="00D14DF3" w:rsidRPr="00D14DF3">
              <w:rPr>
                <w:rFonts w:ascii="Open Sans" w:hAnsi="Open Sans" w:cs="Open Sans"/>
                <w:bCs/>
                <w:color w:val="FFFFFF"/>
                <w:sz w:val="22"/>
                <w:szCs w:val="22"/>
              </w:rPr>
              <w:t>work conforms to the Advice Quality Standard (AQS) and MaPS Debt Advice Quality</w:t>
            </w:r>
            <w:r w:rsidR="00D14DF3">
              <w:rPr>
                <w:rFonts w:ascii="Open Sans" w:hAnsi="Open Sans" w:cs="Open Sans"/>
                <w:bCs/>
                <w:color w:val="FFFFFF"/>
                <w:sz w:val="22"/>
                <w:szCs w:val="22"/>
              </w:rPr>
              <w:t xml:space="preserve"> </w:t>
            </w:r>
            <w:r w:rsidR="00D14DF3" w:rsidRPr="00D14DF3">
              <w:rPr>
                <w:rFonts w:ascii="Open Sans" w:hAnsi="Open Sans" w:cs="Open Sans"/>
                <w:bCs/>
                <w:color w:val="FFFFFF"/>
                <w:sz w:val="22"/>
                <w:szCs w:val="22"/>
              </w:rPr>
              <w:t>Framework.</w:t>
            </w:r>
            <w:r w:rsidRPr="00D14DF3">
              <w:rPr>
                <w:rFonts w:ascii="Open Sans" w:hAnsi="Open Sans" w:cs="Open Sans"/>
                <w:bCs/>
                <w:color w:val="FFFFFF"/>
                <w:sz w:val="22"/>
                <w:szCs w:val="22"/>
                <w:lang w:val="en-GB"/>
              </w:rPr>
              <w:t xml:space="preserve"> </w:t>
            </w:r>
          </w:p>
          <w:p w14:paraId="4EAB3146" w14:textId="3DFEE8F3" w:rsidR="006F05AF" w:rsidRPr="00553679" w:rsidRDefault="005035FB" w:rsidP="005035FB">
            <w:pPr>
              <w:pStyle w:val="NormalWeb"/>
              <w:numPr>
                <w:ilvl w:val="0"/>
                <w:numId w:val="41"/>
              </w:numPr>
              <w:rPr>
                <w:rFonts w:ascii="Open Sans" w:hAnsi="Open Sans" w:cs="Open Sans"/>
                <w:bCs/>
                <w:color w:val="FFFFFF"/>
                <w:sz w:val="22"/>
                <w:szCs w:val="22"/>
                <w:lang w:val="en-GB"/>
              </w:rPr>
            </w:pPr>
            <w:r>
              <w:rPr>
                <w:rFonts w:ascii="Open Sans" w:hAnsi="Open Sans" w:cs="Open Sans"/>
                <w:bCs/>
                <w:color w:val="FFFFFF"/>
                <w:sz w:val="22"/>
                <w:szCs w:val="22"/>
                <w:lang w:val="en"/>
              </w:rPr>
              <w:t xml:space="preserve">To provide </w:t>
            </w:r>
            <w:r w:rsidR="00D14DF3">
              <w:rPr>
                <w:rFonts w:ascii="Open Sans" w:hAnsi="Open Sans" w:cs="Open Sans"/>
                <w:bCs/>
                <w:color w:val="FFFFFF"/>
                <w:sz w:val="22"/>
                <w:szCs w:val="22"/>
                <w:lang w:val="en"/>
              </w:rPr>
              <w:t>money advice</w:t>
            </w:r>
            <w:r>
              <w:rPr>
                <w:rFonts w:ascii="Open Sans" w:hAnsi="Open Sans" w:cs="Open Sans"/>
                <w:bCs/>
                <w:color w:val="FFFFFF"/>
                <w:sz w:val="22"/>
                <w:szCs w:val="22"/>
                <w:lang w:val="en"/>
              </w:rPr>
              <w:t xml:space="preserve"> specialist support </w:t>
            </w:r>
            <w:r w:rsidR="00D14DF3">
              <w:rPr>
                <w:rFonts w:ascii="Open Sans" w:hAnsi="Open Sans" w:cs="Open Sans"/>
                <w:bCs/>
                <w:color w:val="FFFFFF"/>
                <w:sz w:val="22"/>
                <w:szCs w:val="22"/>
                <w:lang w:val="en"/>
              </w:rPr>
              <w:t>to non specialist</w:t>
            </w:r>
            <w:r w:rsidR="0013705D" w:rsidRPr="00553679">
              <w:rPr>
                <w:rFonts w:ascii="Open Sans" w:hAnsi="Open Sans" w:cs="Open Sans"/>
                <w:bCs/>
                <w:color w:val="FFFFFF"/>
                <w:sz w:val="22"/>
                <w:szCs w:val="22"/>
                <w:lang w:val="en"/>
              </w:rPr>
              <w:t xml:space="preserve"> advisers working at CANS</w:t>
            </w:r>
          </w:p>
          <w:p w14:paraId="188E34FB" w14:textId="77777777" w:rsidR="00E87788" w:rsidRPr="00553679" w:rsidRDefault="00E57771" w:rsidP="00E87788">
            <w:pPr>
              <w:pStyle w:val="NormalWeb"/>
              <w:rPr>
                <w:rFonts w:ascii="Open Sans" w:hAnsi="Open Sans" w:cs="Open Sans"/>
                <w:bCs/>
                <w:color w:val="FFFFFF"/>
                <w:sz w:val="22"/>
                <w:szCs w:val="22"/>
                <w:lang w:val="en-GB"/>
              </w:rPr>
            </w:pPr>
            <w:r w:rsidRPr="00553679">
              <w:rPr>
                <w:rFonts w:ascii="Open Sans" w:hAnsi="Open Sans" w:cs="Open Sans"/>
                <w:b/>
                <w:bCs/>
                <w:color w:val="FFFFFF"/>
                <w:sz w:val="22"/>
                <w:szCs w:val="22"/>
                <w:lang w:val="en-GB"/>
              </w:rPr>
              <w:t>About Citizens Advice North Somerset</w:t>
            </w:r>
            <w:r w:rsidRPr="00553679">
              <w:rPr>
                <w:rFonts w:ascii="Open Sans" w:hAnsi="Open Sans" w:cs="Open Sans"/>
                <w:bCs/>
                <w:color w:val="FFFFFF"/>
                <w:sz w:val="22"/>
                <w:szCs w:val="22"/>
                <w:lang w:val="en-GB"/>
              </w:rPr>
              <w:t>: We provide</w:t>
            </w:r>
            <w:r w:rsidR="00E87788" w:rsidRPr="00553679">
              <w:rPr>
                <w:rFonts w:ascii="Open Sans" w:hAnsi="Open Sans" w:cs="Open Sans"/>
                <w:bCs/>
                <w:color w:val="FFFFFF"/>
                <w:sz w:val="22"/>
                <w:szCs w:val="22"/>
                <w:lang w:val="en-GB"/>
              </w:rPr>
              <w:t xml:space="preserve"> a range of advice services through digital means, by telephone and in person.  We seek to empower our clients and support them to improve their confidence and capability on a wide range of issues.  </w:t>
            </w:r>
          </w:p>
          <w:p w14:paraId="22933FE7" w14:textId="0965978F" w:rsidR="00D5152D" w:rsidRPr="00553679" w:rsidRDefault="00E87788" w:rsidP="00E87788">
            <w:pPr>
              <w:pStyle w:val="NormalWeb"/>
              <w:rPr>
                <w:rFonts w:ascii="Open Sans" w:hAnsi="Open Sans" w:cs="Open Sans"/>
                <w:bCs/>
                <w:color w:val="FFFFFF"/>
                <w:sz w:val="22"/>
                <w:szCs w:val="22"/>
                <w:lang w:val="en-GB"/>
              </w:rPr>
            </w:pPr>
            <w:r w:rsidRPr="00553679">
              <w:rPr>
                <w:rFonts w:ascii="Open Sans" w:hAnsi="Open Sans" w:cs="Open Sans"/>
                <w:bCs/>
                <w:color w:val="FFFFFF"/>
                <w:sz w:val="22"/>
                <w:szCs w:val="22"/>
                <w:lang w:val="en-GB"/>
              </w:rPr>
              <w:t xml:space="preserve">We aim to improve the </w:t>
            </w:r>
            <w:r w:rsidR="00A179E6">
              <w:rPr>
                <w:rFonts w:ascii="Open Sans" w:hAnsi="Open Sans" w:cs="Open Sans"/>
                <w:bCs/>
                <w:color w:val="FFFFFF"/>
                <w:sz w:val="22"/>
                <w:szCs w:val="22"/>
                <w:lang w:val="en-GB"/>
              </w:rPr>
              <w:t>w</w:t>
            </w:r>
            <w:r w:rsidRPr="00553679">
              <w:rPr>
                <w:rFonts w:ascii="Open Sans" w:hAnsi="Open Sans" w:cs="Open Sans"/>
                <w:bCs/>
                <w:color w:val="FFFFFF"/>
                <w:sz w:val="22"/>
                <w:szCs w:val="22"/>
                <w:lang w:val="en-GB"/>
              </w:rPr>
              <w:t xml:space="preserve">ellbeing </w:t>
            </w:r>
            <w:r w:rsidR="00A179E6">
              <w:rPr>
                <w:rFonts w:ascii="Open Sans" w:hAnsi="Open Sans" w:cs="Open Sans"/>
                <w:bCs/>
                <w:color w:val="FFFFFF"/>
                <w:sz w:val="22"/>
                <w:szCs w:val="22"/>
                <w:lang w:val="en-GB"/>
              </w:rPr>
              <w:t xml:space="preserve">and health </w:t>
            </w:r>
            <w:r w:rsidRPr="00553679">
              <w:rPr>
                <w:rFonts w:ascii="Open Sans" w:hAnsi="Open Sans" w:cs="Open Sans"/>
                <w:bCs/>
                <w:color w:val="FFFFFF"/>
                <w:sz w:val="22"/>
                <w:szCs w:val="22"/>
                <w:lang w:val="en-GB"/>
              </w:rPr>
              <w:t>of everyone living or working in North Somerset who needs our help and support, by providing accessible, effective and tailored information and a</w:t>
            </w:r>
            <w:r w:rsidR="00D5152D" w:rsidRPr="00553679">
              <w:rPr>
                <w:rFonts w:ascii="Open Sans" w:hAnsi="Open Sans" w:cs="Open Sans"/>
                <w:bCs/>
                <w:color w:val="FFFFFF"/>
                <w:sz w:val="22"/>
                <w:szCs w:val="22"/>
                <w:lang w:val="en-GB"/>
              </w:rPr>
              <w:t xml:space="preserve">dvice that is free, independent, confidential and impartial. </w:t>
            </w:r>
          </w:p>
          <w:p w14:paraId="060735AC" w14:textId="77777777" w:rsidR="00D5152D" w:rsidRPr="00553679" w:rsidRDefault="00D5152D" w:rsidP="008733DF">
            <w:pPr>
              <w:pStyle w:val="NormalWeb"/>
              <w:rPr>
                <w:rFonts w:ascii="Open Sans" w:hAnsi="Open Sans" w:cs="Open Sans"/>
                <w:bCs/>
                <w:color w:val="FFFFFF"/>
                <w:sz w:val="22"/>
                <w:szCs w:val="22"/>
                <w:lang w:val="en-GB"/>
              </w:rPr>
            </w:pPr>
            <w:r w:rsidRPr="00553679">
              <w:rPr>
                <w:rFonts w:ascii="Open Sans" w:hAnsi="Open Sans" w:cs="Open Sans"/>
                <w:bCs/>
                <w:color w:val="FFFFFF"/>
                <w:sz w:val="22"/>
                <w:szCs w:val="22"/>
                <w:lang w:val="en-GB"/>
              </w:rPr>
              <w:t>We believe that our common humanity makes us equal in worth, dignity and rights.  We value diversity, promote equality and challenge discrimination.</w:t>
            </w:r>
          </w:p>
          <w:p w14:paraId="5DA2B62A" w14:textId="77777777" w:rsidR="008733DF" w:rsidRPr="00553679" w:rsidRDefault="008733DF" w:rsidP="008733DF">
            <w:pPr>
              <w:pStyle w:val="NormalWeb"/>
              <w:rPr>
                <w:rFonts w:ascii="Open Sans" w:hAnsi="Open Sans" w:cs="Open Sans"/>
                <w:bCs/>
                <w:color w:val="FFFFFF"/>
                <w:sz w:val="22"/>
                <w:szCs w:val="22"/>
                <w:lang w:val="en-GB"/>
              </w:rPr>
            </w:pPr>
          </w:p>
        </w:tc>
      </w:tr>
      <w:tr w:rsidR="003E4131" w:rsidRPr="00553679" w14:paraId="1A19056E" w14:textId="77777777" w:rsidTr="0E72825D">
        <w:trPr>
          <w:trHeight w:val="352"/>
        </w:trPr>
        <w:tc>
          <w:tcPr>
            <w:tcW w:w="9628" w:type="dxa"/>
            <w:gridSpan w:val="4"/>
            <w:tcBorders>
              <w:top w:val="single" w:sz="4" w:space="0" w:color="004B88"/>
              <w:left w:val="nil"/>
              <w:bottom w:val="single" w:sz="4" w:space="0" w:color="004B88"/>
              <w:right w:val="nil"/>
            </w:tcBorders>
            <w:shd w:val="clear" w:color="auto" w:fill="auto"/>
          </w:tcPr>
          <w:p w14:paraId="38907D05" w14:textId="77777777" w:rsidR="003E4131" w:rsidRPr="00553679" w:rsidRDefault="003E4131" w:rsidP="00FC0CDC">
            <w:pPr>
              <w:pStyle w:val="NormalWeb"/>
              <w:spacing w:before="0" w:beforeAutospacing="0" w:after="0" w:afterAutospacing="0"/>
              <w:rPr>
                <w:rFonts w:ascii="Open Sans" w:hAnsi="Open Sans" w:cs="Open Sans"/>
                <w:b/>
                <w:bCs/>
                <w:color w:val="004B88"/>
                <w:sz w:val="22"/>
                <w:szCs w:val="22"/>
                <w:lang w:val="en-GB"/>
              </w:rPr>
            </w:pPr>
          </w:p>
        </w:tc>
      </w:tr>
      <w:tr w:rsidR="003E4131" w:rsidRPr="00553679" w14:paraId="7DF2F8BB" w14:textId="77777777" w:rsidTr="0E72825D">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4CF213EB" w14:textId="77777777" w:rsidR="00EC50B4" w:rsidRPr="00553679" w:rsidRDefault="00753F1D" w:rsidP="00FC0CDC">
            <w:pPr>
              <w:pStyle w:val="NormalWeb"/>
              <w:spacing w:before="0" w:beforeAutospacing="0" w:after="0" w:afterAutospacing="0"/>
              <w:rPr>
                <w:rFonts w:ascii="Open Sans" w:hAnsi="Open Sans" w:cs="Open Sans"/>
                <w:b/>
                <w:bCs/>
                <w:color w:val="FFFFFF" w:themeColor="background1"/>
                <w:sz w:val="22"/>
                <w:szCs w:val="22"/>
                <w:lang w:val="en-GB"/>
              </w:rPr>
            </w:pPr>
            <w:r w:rsidRPr="00553679">
              <w:rPr>
                <w:rFonts w:ascii="Open Sans" w:hAnsi="Open Sans" w:cs="Open Sans"/>
                <w:b/>
                <w:bCs/>
                <w:color w:val="FFFFFF" w:themeColor="background1"/>
                <w:sz w:val="22"/>
                <w:szCs w:val="22"/>
                <w:lang w:val="en-GB"/>
              </w:rPr>
              <w:t>Main duties and Responsibilities</w:t>
            </w:r>
          </w:p>
        </w:tc>
      </w:tr>
      <w:tr w:rsidR="00553679" w:rsidRPr="00553679" w14:paraId="196A9064" w14:textId="77777777" w:rsidTr="0E72825D">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09839EAA" w14:textId="5796BDAD" w:rsidR="00553679" w:rsidRPr="00553679" w:rsidRDefault="00553679" w:rsidP="00FC0CDC">
            <w:pPr>
              <w:pStyle w:val="NormalWeb"/>
              <w:spacing w:before="0" w:beforeAutospacing="0" w:after="0" w:afterAutospacing="0"/>
              <w:rPr>
                <w:rFonts w:ascii="Open Sans" w:hAnsi="Open Sans" w:cs="Open Sans"/>
                <w:b/>
                <w:bCs/>
                <w:color w:val="FFFFFF" w:themeColor="background1"/>
                <w:sz w:val="22"/>
                <w:szCs w:val="22"/>
                <w:lang w:val="en-GB"/>
              </w:rPr>
            </w:pPr>
            <w:r w:rsidRPr="00553679">
              <w:rPr>
                <w:rFonts w:ascii="Open Sans" w:hAnsi="Open Sans" w:cs="Open Sans"/>
                <w:b/>
                <w:bCs/>
                <w:color w:val="FFFFFF" w:themeColor="background1"/>
                <w:sz w:val="22"/>
                <w:szCs w:val="22"/>
                <w:lang w:val="en-GB"/>
              </w:rPr>
              <w:t>Service Delivery</w:t>
            </w:r>
          </w:p>
        </w:tc>
      </w:tr>
      <w:tr w:rsidR="00553679" w:rsidRPr="00553679" w14:paraId="2D574363" w14:textId="77777777" w:rsidTr="0E72825D">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14:paraId="7C4D054F" w14:textId="3721C172" w:rsidR="00D14DF3" w:rsidRPr="00D14DF3" w:rsidRDefault="00553679" w:rsidP="00D14DF3">
            <w:pPr>
              <w:pStyle w:val="ListParagraph"/>
              <w:numPr>
                <w:ilvl w:val="0"/>
                <w:numId w:val="37"/>
              </w:numPr>
              <w:rPr>
                <w:rFonts w:ascii="Open Sans" w:hAnsi="Open Sans" w:cs="Open Sans"/>
                <w:color w:val="004B88"/>
                <w:sz w:val="22"/>
                <w:szCs w:val="22"/>
              </w:rPr>
            </w:pPr>
            <w:r w:rsidRPr="0E72825D">
              <w:rPr>
                <w:rFonts w:ascii="Open Sans" w:hAnsi="Open Sans" w:cs="Open Sans"/>
                <w:color w:val="004B88"/>
                <w:sz w:val="22"/>
                <w:szCs w:val="22"/>
              </w:rPr>
              <w:t xml:space="preserve">To manage the day to day running of the </w:t>
            </w:r>
            <w:r w:rsidR="00D14DF3" w:rsidRPr="0E72825D">
              <w:rPr>
                <w:rFonts w:ascii="Open Sans" w:hAnsi="Open Sans" w:cs="Open Sans"/>
                <w:color w:val="004B88"/>
                <w:sz w:val="22"/>
                <w:szCs w:val="22"/>
              </w:rPr>
              <w:t>Money Advice</w:t>
            </w:r>
            <w:r w:rsidRPr="0E72825D">
              <w:rPr>
                <w:rFonts w:ascii="Open Sans" w:hAnsi="Open Sans" w:cs="Open Sans"/>
                <w:color w:val="004B88"/>
                <w:sz w:val="22"/>
                <w:szCs w:val="22"/>
              </w:rPr>
              <w:t xml:space="preserve"> service, to ensure adeq</w:t>
            </w:r>
            <w:r w:rsidR="00D14DF3" w:rsidRPr="0E72825D">
              <w:rPr>
                <w:rFonts w:ascii="Open Sans" w:hAnsi="Open Sans" w:cs="Open Sans"/>
                <w:color w:val="004B88"/>
                <w:sz w:val="22"/>
                <w:szCs w:val="22"/>
              </w:rPr>
              <w:t xml:space="preserve">uate staffing and resources to provide comprehensive debt advice in line with Financial Conduct Authority </w:t>
            </w:r>
            <w:r w:rsidR="0079086A" w:rsidRPr="0E72825D">
              <w:rPr>
                <w:rFonts w:ascii="Open Sans" w:hAnsi="Open Sans" w:cs="Open Sans"/>
                <w:color w:val="004B88"/>
                <w:sz w:val="22"/>
                <w:szCs w:val="22"/>
              </w:rPr>
              <w:t>requirements</w:t>
            </w:r>
            <w:r w:rsidR="00D14DF3" w:rsidRPr="0E72825D">
              <w:rPr>
                <w:rFonts w:ascii="Open Sans" w:hAnsi="Open Sans" w:cs="Open Sans"/>
                <w:color w:val="004B88"/>
                <w:sz w:val="22"/>
                <w:szCs w:val="22"/>
              </w:rPr>
              <w:t>, ensuring that the work conforms to the Advice Quality Standard (AQS) and MaPS Debt Advice Quality Framework</w:t>
            </w:r>
            <w:r w:rsidR="76A09CE1" w:rsidRPr="0E72825D">
              <w:rPr>
                <w:rFonts w:ascii="Open Sans" w:hAnsi="Open Sans" w:cs="Open Sans"/>
                <w:color w:val="004B88"/>
                <w:sz w:val="22"/>
                <w:szCs w:val="22"/>
              </w:rPr>
              <w:t>;</w:t>
            </w:r>
          </w:p>
          <w:p w14:paraId="02EF131F" w14:textId="4B9D0B53" w:rsidR="00553679" w:rsidRPr="00A179E6" w:rsidRDefault="00D14DF3" w:rsidP="00A179E6">
            <w:pPr>
              <w:pStyle w:val="ListParagraph"/>
              <w:numPr>
                <w:ilvl w:val="0"/>
                <w:numId w:val="37"/>
              </w:numPr>
              <w:rPr>
                <w:rFonts w:ascii="Open Sans" w:hAnsi="Open Sans" w:cs="Open Sans"/>
                <w:color w:val="004B88"/>
                <w:sz w:val="22"/>
                <w:szCs w:val="22"/>
              </w:rPr>
            </w:pPr>
            <w:r w:rsidRPr="0E72825D">
              <w:rPr>
                <w:rFonts w:ascii="Open Sans" w:hAnsi="Open Sans" w:cs="Open Sans"/>
                <w:color w:val="004B88"/>
                <w:sz w:val="22"/>
                <w:szCs w:val="22"/>
              </w:rPr>
              <w:t xml:space="preserve"> S</w:t>
            </w:r>
            <w:r w:rsidR="00553679" w:rsidRPr="0E72825D">
              <w:rPr>
                <w:rFonts w:ascii="Open Sans" w:hAnsi="Open Sans" w:cs="Open Sans"/>
                <w:color w:val="004B88"/>
                <w:sz w:val="22"/>
                <w:szCs w:val="22"/>
              </w:rPr>
              <w:t>up</w:t>
            </w:r>
            <w:r w:rsidRPr="0E72825D">
              <w:rPr>
                <w:rFonts w:ascii="Open Sans" w:hAnsi="Open Sans" w:cs="Open Sans"/>
                <w:color w:val="004B88"/>
                <w:sz w:val="22"/>
                <w:szCs w:val="22"/>
              </w:rPr>
              <w:t>e</w:t>
            </w:r>
            <w:r w:rsidR="7D06524D" w:rsidRPr="0E72825D">
              <w:rPr>
                <w:rFonts w:ascii="Open Sans" w:hAnsi="Open Sans" w:cs="Open Sans"/>
                <w:color w:val="004B88"/>
                <w:sz w:val="22"/>
                <w:szCs w:val="22"/>
              </w:rPr>
              <w:t>rvise and support</w:t>
            </w:r>
            <w:r w:rsidRPr="0E72825D">
              <w:rPr>
                <w:rFonts w:ascii="Open Sans" w:hAnsi="Open Sans" w:cs="Open Sans"/>
                <w:color w:val="004B88"/>
                <w:sz w:val="22"/>
                <w:szCs w:val="22"/>
              </w:rPr>
              <w:t xml:space="preserve"> the Money Advice</w:t>
            </w:r>
            <w:r w:rsidR="00A179E6" w:rsidRPr="0E72825D">
              <w:rPr>
                <w:rFonts w:ascii="Open Sans" w:hAnsi="Open Sans" w:cs="Open Sans"/>
                <w:color w:val="004B88"/>
                <w:sz w:val="22"/>
                <w:szCs w:val="22"/>
              </w:rPr>
              <w:t xml:space="preserve"> team; </w:t>
            </w:r>
            <w:r w:rsidR="00553679" w:rsidRPr="0E72825D">
              <w:rPr>
                <w:rFonts w:ascii="Open Sans" w:hAnsi="Open Sans" w:cs="Open Sans"/>
                <w:color w:val="004B88"/>
                <w:sz w:val="22"/>
                <w:szCs w:val="22"/>
              </w:rPr>
              <w:t>monitoring caseloads and providing appropriate level of support and supervision depending on their level of competence</w:t>
            </w:r>
            <w:r w:rsidR="7E3C408E" w:rsidRPr="0E72825D">
              <w:rPr>
                <w:rFonts w:ascii="Open Sans" w:hAnsi="Open Sans" w:cs="Open Sans"/>
                <w:color w:val="004B88"/>
                <w:sz w:val="22"/>
                <w:szCs w:val="22"/>
              </w:rPr>
              <w:t>;</w:t>
            </w:r>
          </w:p>
          <w:p w14:paraId="504A18EE" w14:textId="0971F58F" w:rsidR="7E3C408E" w:rsidRDefault="7E3C408E" w:rsidP="0E72825D">
            <w:pPr>
              <w:pStyle w:val="ListParagraph"/>
              <w:numPr>
                <w:ilvl w:val="0"/>
                <w:numId w:val="37"/>
              </w:numPr>
              <w:rPr>
                <w:rFonts w:ascii="Open Sans" w:hAnsi="Open Sans" w:cs="Open Sans"/>
                <w:color w:val="004B88"/>
                <w:sz w:val="22"/>
                <w:szCs w:val="22"/>
              </w:rPr>
            </w:pPr>
            <w:r w:rsidRPr="0E72825D">
              <w:rPr>
                <w:rFonts w:ascii="Open Sans" w:hAnsi="Open Sans" w:cs="Open Sans"/>
                <w:color w:val="004B88"/>
                <w:sz w:val="22"/>
                <w:szCs w:val="22"/>
              </w:rPr>
              <w:t>Ensure the effective performance management and development of the team through regular supervision meetings,</w:t>
            </w:r>
            <w:r w:rsidR="49AA14D4" w:rsidRPr="0E72825D">
              <w:rPr>
                <w:rFonts w:ascii="Open Sans" w:hAnsi="Open Sans" w:cs="Open Sans"/>
                <w:color w:val="004B88"/>
                <w:sz w:val="22"/>
                <w:szCs w:val="22"/>
              </w:rPr>
              <w:t xml:space="preserve"> team meetings and</w:t>
            </w:r>
            <w:r w:rsidRPr="0E72825D">
              <w:rPr>
                <w:rFonts w:ascii="Open Sans" w:hAnsi="Open Sans" w:cs="Open Sans"/>
                <w:color w:val="004B88"/>
                <w:sz w:val="22"/>
                <w:szCs w:val="22"/>
              </w:rPr>
              <w:t xml:space="preserve"> the appraisal process</w:t>
            </w:r>
            <w:r w:rsidR="2568E4B8" w:rsidRPr="0E72825D">
              <w:rPr>
                <w:rFonts w:ascii="Open Sans" w:hAnsi="Open Sans" w:cs="Open Sans"/>
                <w:color w:val="004B88"/>
                <w:sz w:val="22"/>
                <w:szCs w:val="22"/>
              </w:rPr>
              <w:t>;</w:t>
            </w:r>
          </w:p>
          <w:p w14:paraId="7C82C704" w14:textId="778A0E69" w:rsidR="00553679" w:rsidRPr="00553679" w:rsidRDefault="0079086A" w:rsidP="0E72825D">
            <w:pPr>
              <w:pStyle w:val="NormalWeb"/>
              <w:numPr>
                <w:ilvl w:val="0"/>
                <w:numId w:val="37"/>
              </w:numPr>
              <w:spacing w:before="0" w:beforeAutospacing="0" w:after="0" w:afterAutospacing="0"/>
              <w:rPr>
                <w:rFonts w:ascii="Open Sans" w:hAnsi="Open Sans" w:cs="Open Sans"/>
                <w:color w:val="004B88"/>
                <w:sz w:val="22"/>
                <w:szCs w:val="22"/>
                <w:lang w:val="en-GB"/>
              </w:rPr>
            </w:pPr>
            <w:r w:rsidRPr="0E72825D">
              <w:rPr>
                <w:rFonts w:ascii="Open Sans" w:hAnsi="Open Sans" w:cs="Open Sans"/>
                <w:color w:val="004B88"/>
                <w:sz w:val="22"/>
                <w:szCs w:val="22"/>
                <w:lang w:val="en-GB"/>
              </w:rPr>
              <w:t>Supervise the money advice team performance to ensure that targets for a variety of</w:t>
            </w:r>
            <w:r w:rsidR="00553679" w:rsidRPr="0E72825D">
              <w:rPr>
                <w:rFonts w:ascii="Open Sans" w:hAnsi="Open Sans" w:cs="Open Sans"/>
                <w:color w:val="004B88"/>
                <w:sz w:val="22"/>
                <w:szCs w:val="22"/>
                <w:lang w:val="en-GB"/>
              </w:rPr>
              <w:t xml:space="preserve"> service level agreements</w:t>
            </w:r>
            <w:r w:rsidRPr="0E72825D">
              <w:rPr>
                <w:rFonts w:ascii="Open Sans" w:hAnsi="Open Sans" w:cs="Open Sans"/>
                <w:color w:val="004B88"/>
                <w:sz w:val="22"/>
                <w:szCs w:val="22"/>
                <w:lang w:val="en-GB"/>
              </w:rPr>
              <w:t xml:space="preserve"> are met</w:t>
            </w:r>
            <w:r w:rsidR="00553679" w:rsidRPr="0E72825D">
              <w:rPr>
                <w:rFonts w:ascii="Open Sans" w:hAnsi="Open Sans" w:cs="Open Sans"/>
                <w:color w:val="004B88"/>
                <w:sz w:val="22"/>
                <w:szCs w:val="22"/>
                <w:lang w:val="en-GB"/>
              </w:rPr>
              <w:t>;</w:t>
            </w:r>
          </w:p>
          <w:p w14:paraId="6AC27750" w14:textId="7246EE4D" w:rsidR="5EB5F168" w:rsidRDefault="5EB5F168" w:rsidP="0E72825D">
            <w:pPr>
              <w:pStyle w:val="NormalWeb"/>
              <w:numPr>
                <w:ilvl w:val="0"/>
                <w:numId w:val="37"/>
              </w:numPr>
              <w:spacing w:before="0" w:beforeAutospacing="0" w:after="0" w:afterAutospacing="0"/>
              <w:rPr>
                <w:rFonts w:ascii="Open Sans" w:hAnsi="Open Sans" w:cs="Open Sans"/>
                <w:color w:val="004B88"/>
                <w:lang w:val="en-GB"/>
              </w:rPr>
            </w:pPr>
            <w:r w:rsidRPr="0E72825D">
              <w:rPr>
                <w:rFonts w:ascii="Open Sans" w:hAnsi="Open Sans" w:cs="Open Sans"/>
                <w:color w:val="004B88"/>
                <w:sz w:val="22"/>
                <w:szCs w:val="22"/>
                <w:lang w:val="en-GB"/>
              </w:rPr>
              <w:t>Take responsibility for accurate and timely reporting to funders and the Trustee Board;</w:t>
            </w:r>
          </w:p>
          <w:p w14:paraId="407EFA64" w14:textId="7E45141B" w:rsidR="7646B2CE" w:rsidRDefault="7646B2CE" w:rsidP="0E72825D">
            <w:pPr>
              <w:pStyle w:val="NormalWeb"/>
              <w:numPr>
                <w:ilvl w:val="0"/>
                <w:numId w:val="37"/>
              </w:numPr>
              <w:spacing w:before="0" w:beforeAutospacing="0" w:after="0" w:afterAutospacing="0"/>
              <w:rPr>
                <w:rFonts w:ascii="Open Sans" w:hAnsi="Open Sans" w:cs="Open Sans"/>
                <w:color w:val="004B88"/>
                <w:lang w:val="en-GB"/>
              </w:rPr>
            </w:pPr>
            <w:r w:rsidRPr="0E72825D">
              <w:rPr>
                <w:rFonts w:ascii="Open Sans" w:hAnsi="Open Sans" w:cs="Open Sans"/>
                <w:color w:val="004B88"/>
                <w:sz w:val="22"/>
                <w:szCs w:val="22"/>
                <w:lang w:val="en-GB"/>
              </w:rPr>
              <w:t xml:space="preserve">Undertake </w:t>
            </w:r>
            <w:r w:rsidR="6ADAF365" w:rsidRPr="0E72825D">
              <w:rPr>
                <w:rFonts w:ascii="Open Sans" w:hAnsi="Open Sans" w:cs="Open Sans"/>
                <w:color w:val="004B88"/>
                <w:sz w:val="22"/>
                <w:szCs w:val="22"/>
                <w:lang w:val="en-GB"/>
              </w:rPr>
              <w:t xml:space="preserve">sufficient </w:t>
            </w:r>
            <w:r w:rsidRPr="0E72825D">
              <w:rPr>
                <w:rFonts w:ascii="Open Sans" w:hAnsi="Open Sans" w:cs="Open Sans"/>
                <w:color w:val="004B88"/>
                <w:sz w:val="22"/>
                <w:szCs w:val="22"/>
                <w:lang w:val="en-GB"/>
              </w:rPr>
              <w:t>casework to maintain compliance with quality standards;</w:t>
            </w:r>
          </w:p>
          <w:p w14:paraId="4019E10F" w14:textId="1A55F132" w:rsidR="00553679" w:rsidRPr="00553679" w:rsidRDefault="00553679" w:rsidP="0E72825D">
            <w:pPr>
              <w:pStyle w:val="NormalWeb"/>
              <w:numPr>
                <w:ilvl w:val="0"/>
                <w:numId w:val="37"/>
              </w:numPr>
              <w:spacing w:before="0" w:beforeAutospacing="0" w:after="0" w:afterAutospacing="0"/>
              <w:rPr>
                <w:rFonts w:ascii="Open Sans" w:hAnsi="Open Sans" w:cs="Open Sans"/>
                <w:color w:val="004B88"/>
                <w:sz w:val="22"/>
                <w:szCs w:val="22"/>
                <w:lang w:val="en-GB"/>
              </w:rPr>
            </w:pPr>
            <w:r w:rsidRPr="0E72825D">
              <w:rPr>
                <w:rFonts w:ascii="Open Sans" w:hAnsi="Open Sans" w:cs="Open Sans"/>
                <w:color w:val="004B88"/>
                <w:sz w:val="22"/>
                <w:szCs w:val="22"/>
                <w:lang w:val="en-GB"/>
              </w:rPr>
              <w:t>Analysis of the effectiveness of the service and to provide regular reporting to senior management and partner organisations</w:t>
            </w:r>
            <w:r w:rsidR="1CFA28F7" w:rsidRPr="0E72825D">
              <w:rPr>
                <w:rFonts w:ascii="Open Sans" w:hAnsi="Open Sans" w:cs="Open Sans"/>
                <w:color w:val="004B88"/>
                <w:sz w:val="22"/>
                <w:szCs w:val="22"/>
                <w:lang w:val="en-GB"/>
              </w:rPr>
              <w:t>;</w:t>
            </w:r>
            <w:r w:rsidRPr="0E72825D">
              <w:rPr>
                <w:rFonts w:ascii="Open Sans" w:hAnsi="Open Sans" w:cs="Open Sans"/>
                <w:color w:val="004B88"/>
                <w:sz w:val="22"/>
                <w:szCs w:val="22"/>
                <w:lang w:val="en-GB"/>
              </w:rPr>
              <w:t xml:space="preserve">  </w:t>
            </w:r>
          </w:p>
          <w:p w14:paraId="3BDBD8FC" w14:textId="22D4FA30" w:rsidR="00553679" w:rsidRPr="00553679" w:rsidRDefault="00553679" w:rsidP="0E72825D">
            <w:pPr>
              <w:pStyle w:val="NormalWeb"/>
              <w:numPr>
                <w:ilvl w:val="0"/>
                <w:numId w:val="37"/>
              </w:numPr>
              <w:spacing w:before="0" w:beforeAutospacing="0" w:after="0" w:afterAutospacing="0"/>
              <w:rPr>
                <w:rFonts w:ascii="Open Sans" w:hAnsi="Open Sans" w:cs="Open Sans"/>
                <w:color w:val="004B88"/>
                <w:sz w:val="22"/>
                <w:szCs w:val="22"/>
                <w:lang w:val="en-GB"/>
              </w:rPr>
            </w:pPr>
            <w:r w:rsidRPr="0E72825D">
              <w:rPr>
                <w:rFonts w:ascii="Open Sans" w:hAnsi="Open Sans" w:cs="Open Sans"/>
                <w:color w:val="004B88"/>
                <w:sz w:val="22"/>
                <w:szCs w:val="22"/>
                <w:lang w:val="en-GB"/>
              </w:rPr>
              <w:lastRenderedPageBreak/>
              <w:t xml:space="preserve">Coordinate </w:t>
            </w:r>
            <w:r w:rsidR="66D18983" w:rsidRPr="0E72825D">
              <w:rPr>
                <w:rFonts w:ascii="Open Sans" w:hAnsi="Open Sans" w:cs="Open Sans"/>
                <w:color w:val="004B88"/>
                <w:sz w:val="22"/>
                <w:szCs w:val="22"/>
                <w:lang w:val="en-GB"/>
              </w:rPr>
              <w:t>c</w:t>
            </w:r>
            <w:r w:rsidRPr="0E72825D">
              <w:rPr>
                <w:rFonts w:ascii="Open Sans" w:hAnsi="Open Sans" w:cs="Open Sans"/>
                <w:color w:val="004B88"/>
                <w:sz w:val="22"/>
                <w:szCs w:val="22"/>
                <w:lang w:val="en-GB"/>
              </w:rPr>
              <w:t>aseworker training and CPD, including development and delivery of training programmes and maintaining records</w:t>
            </w:r>
            <w:r w:rsidR="6017759F" w:rsidRPr="0E72825D">
              <w:rPr>
                <w:rFonts w:ascii="Open Sans" w:hAnsi="Open Sans" w:cs="Open Sans"/>
                <w:color w:val="004B88"/>
                <w:sz w:val="22"/>
                <w:szCs w:val="22"/>
                <w:lang w:val="en-GB"/>
              </w:rPr>
              <w:t>;</w:t>
            </w:r>
            <w:r w:rsidRPr="0E72825D">
              <w:rPr>
                <w:rFonts w:ascii="Open Sans" w:hAnsi="Open Sans" w:cs="Open Sans"/>
                <w:color w:val="004B88"/>
                <w:sz w:val="22"/>
                <w:szCs w:val="22"/>
                <w:lang w:val="en-GB"/>
              </w:rPr>
              <w:t xml:space="preserve"> </w:t>
            </w:r>
          </w:p>
          <w:p w14:paraId="7DF597AB" w14:textId="77777777" w:rsidR="00553679" w:rsidRPr="00553679" w:rsidRDefault="00553679" w:rsidP="00553679">
            <w:pPr>
              <w:pStyle w:val="NormalWeb"/>
              <w:numPr>
                <w:ilvl w:val="0"/>
                <w:numId w:val="37"/>
              </w:numPr>
              <w:spacing w:before="0" w:beforeAutospacing="0" w:after="0" w:afterAutospacing="0"/>
              <w:rPr>
                <w:rFonts w:ascii="Open Sans" w:hAnsi="Open Sans" w:cs="Open Sans"/>
                <w:bCs/>
                <w:color w:val="004B88"/>
                <w:sz w:val="22"/>
                <w:szCs w:val="22"/>
                <w:lang w:val="en-GB"/>
              </w:rPr>
            </w:pPr>
            <w:r w:rsidRPr="0E72825D">
              <w:rPr>
                <w:rFonts w:ascii="Open Sans" w:hAnsi="Open Sans" w:cs="Open Sans"/>
                <w:color w:val="004B88"/>
                <w:sz w:val="22"/>
                <w:szCs w:val="22"/>
                <w:lang w:val="en-GB"/>
              </w:rPr>
              <w:t>Ensure appropriate systems are developed and maintained for case recording, statistics, follow-up work and quality control;</w:t>
            </w:r>
          </w:p>
          <w:p w14:paraId="51C87494" w14:textId="77777777" w:rsidR="00553679" w:rsidRPr="00553679" w:rsidRDefault="00553679" w:rsidP="00553679">
            <w:pPr>
              <w:pStyle w:val="NormalWeb"/>
              <w:numPr>
                <w:ilvl w:val="0"/>
                <w:numId w:val="37"/>
              </w:numPr>
              <w:spacing w:before="0" w:beforeAutospacing="0" w:after="0" w:afterAutospacing="0"/>
              <w:rPr>
                <w:rFonts w:ascii="Open Sans" w:hAnsi="Open Sans" w:cs="Open Sans"/>
                <w:bCs/>
                <w:color w:val="004B88"/>
                <w:sz w:val="22"/>
                <w:szCs w:val="22"/>
                <w:lang w:val="en-GB"/>
              </w:rPr>
            </w:pPr>
            <w:r w:rsidRPr="0E72825D">
              <w:rPr>
                <w:rFonts w:ascii="Open Sans" w:hAnsi="Open Sans" w:cs="Open Sans"/>
                <w:color w:val="004B88"/>
                <w:sz w:val="22"/>
                <w:szCs w:val="22"/>
                <w:lang w:val="en-GB"/>
              </w:rPr>
              <w:t>Keep technical knowledge up to date and provide technical support to designated staff;</w:t>
            </w:r>
          </w:p>
          <w:p w14:paraId="122D3C8B" w14:textId="77777777" w:rsidR="00553679" w:rsidRPr="00553679" w:rsidRDefault="00553679" w:rsidP="00553679">
            <w:pPr>
              <w:pStyle w:val="NormalWeb"/>
              <w:numPr>
                <w:ilvl w:val="0"/>
                <w:numId w:val="37"/>
              </w:numPr>
              <w:spacing w:before="0" w:beforeAutospacing="0" w:after="0" w:afterAutospacing="0"/>
              <w:rPr>
                <w:rFonts w:ascii="Open Sans" w:hAnsi="Open Sans" w:cs="Open Sans"/>
                <w:bCs/>
                <w:color w:val="004B88"/>
                <w:sz w:val="22"/>
                <w:szCs w:val="22"/>
                <w:lang w:val="en-GB"/>
              </w:rPr>
            </w:pPr>
            <w:r w:rsidRPr="0E72825D">
              <w:rPr>
                <w:rFonts w:ascii="Open Sans" w:hAnsi="Open Sans" w:cs="Open Sans"/>
                <w:color w:val="004B88"/>
                <w:sz w:val="22"/>
                <w:szCs w:val="22"/>
                <w:lang w:val="en-GB"/>
              </w:rPr>
              <w:t xml:space="preserve">Assist the Management Team on compliance with Citizens Advice membership scheme, advice quality standards and audit requirements; </w:t>
            </w:r>
          </w:p>
          <w:p w14:paraId="4A40A719" w14:textId="77777777" w:rsidR="00553679" w:rsidRPr="00553679" w:rsidRDefault="00553679" w:rsidP="00553679">
            <w:pPr>
              <w:pStyle w:val="NormalWeb"/>
              <w:spacing w:before="0" w:beforeAutospacing="0" w:after="0" w:afterAutospacing="0"/>
              <w:ind w:left="720"/>
              <w:rPr>
                <w:rFonts w:ascii="Open Sans" w:hAnsi="Open Sans" w:cs="Open Sans"/>
                <w:b/>
                <w:bCs/>
                <w:color w:val="004B88"/>
                <w:sz w:val="22"/>
                <w:szCs w:val="22"/>
                <w:lang w:val="en-GB"/>
              </w:rPr>
            </w:pPr>
          </w:p>
        </w:tc>
      </w:tr>
      <w:tr w:rsidR="00553679" w:rsidRPr="00553679" w14:paraId="1F29B9BD" w14:textId="77777777" w:rsidTr="0E72825D">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7BF5C8EA" w14:textId="611C7838" w:rsidR="00553679" w:rsidRPr="00553679" w:rsidRDefault="00553679" w:rsidP="006428F9">
            <w:pPr>
              <w:pStyle w:val="NormalWeb"/>
              <w:spacing w:before="0" w:beforeAutospacing="0" w:after="0" w:afterAutospacing="0"/>
              <w:rPr>
                <w:rFonts w:ascii="Open Sans" w:hAnsi="Open Sans" w:cs="Open Sans"/>
                <w:b/>
                <w:bCs/>
                <w:color w:val="FFFFFF" w:themeColor="background1"/>
                <w:sz w:val="22"/>
                <w:szCs w:val="22"/>
                <w:lang w:val="en-GB"/>
              </w:rPr>
            </w:pPr>
            <w:r w:rsidRPr="00553679">
              <w:rPr>
                <w:rFonts w:ascii="Open Sans" w:hAnsi="Open Sans" w:cs="Open Sans"/>
                <w:b/>
                <w:bCs/>
                <w:color w:val="FFFFFF" w:themeColor="background1"/>
                <w:sz w:val="22"/>
                <w:szCs w:val="22"/>
                <w:lang w:val="en-GB"/>
              </w:rPr>
              <w:lastRenderedPageBreak/>
              <w:t>Staff Management</w:t>
            </w:r>
          </w:p>
        </w:tc>
      </w:tr>
      <w:tr w:rsidR="00553679" w:rsidRPr="00553679" w14:paraId="74CB02BD" w14:textId="77777777" w:rsidTr="0E72825D">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14:paraId="4908BB24" w14:textId="0A657CE6" w:rsidR="00553679" w:rsidRPr="00553679" w:rsidRDefault="00553679" w:rsidP="00553679">
            <w:pPr>
              <w:pStyle w:val="NormalWeb"/>
              <w:numPr>
                <w:ilvl w:val="0"/>
                <w:numId w:val="37"/>
              </w:numPr>
              <w:spacing w:before="0" w:beforeAutospacing="0" w:after="0" w:afterAutospacing="0"/>
              <w:rPr>
                <w:rFonts w:ascii="Open Sans" w:hAnsi="Open Sans" w:cs="Open Sans"/>
                <w:bCs/>
                <w:color w:val="004B88"/>
                <w:sz w:val="22"/>
                <w:szCs w:val="22"/>
                <w:lang w:val="en-GB"/>
              </w:rPr>
            </w:pPr>
            <w:r w:rsidRPr="0E72825D">
              <w:rPr>
                <w:rFonts w:ascii="Open Sans" w:hAnsi="Open Sans" w:cs="Open Sans"/>
                <w:color w:val="004B88"/>
                <w:sz w:val="22"/>
                <w:szCs w:val="22"/>
                <w:lang w:val="en-GB"/>
              </w:rPr>
              <w:t>Encourage good teamwork and create a positive working environment in which equality and diversity are well managed, dignity at work is upheld and staff can do their best;</w:t>
            </w:r>
          </w:p>
          <w:p w14:paraId="6F003F73" w14:textId="77777777" w:rsidR="00553679" w:rsidRPr="00553679" w:rsidRDefault="00553679" w:rsidP="00553679">
            <w:pPr>
              <w:pStyle w:val="NormalWeb"/>
              <w:numPr>
                <w:ilvl w:val="0"/>
                <w:numId w:val="37"/>
              </w:numPr>
              <w:spacing w:before="0" w:beforeAutospacing="0" w:after="0" w:afterAutospacing="0"/>
              <w:rPr>
                <w:rFonts w:ascii="Open Sans" w:hAnsi="Open Sans" w:cs="Open Sans"/>
                <w:bCs/>
                <w:color w:val="004B88"/>
                <w:sz w:val="22"/>
                <w:szCs w:val="22"/>
                <w:lang w:val="en-GB"/>
              </w:rPr>
            </w:pPr>
            <w:r w:rsidRPr="0E72825D">
              <w:rPr>
                <w:rFonts w:ascii="Open Sans" w:hAnsi="Open Sans" w:cs="Open Sans"/>
                <w:color w:val="004B88"/>
                <w:sz w:val="22"/>
                <w:szCs w:val="22"/>
                <w:lang w:val="en-GB"/>
              </w:rPr>
              <w:t>Participate in the recruitment and selection activities as delegated;</w:t>
            </w:r>
          </w:p>
          <w:p w14:paraId="778F03C7" w14:textId="77777777" w:rsidR="00553679" w:rsidRPr="00553679" w:rsidRDefault="00553679" w:rsidP="00553679">
            <w:pPr>
              <w:pStyle w:val="NormalWeb"/>
              <w:numPr>
                <w:ilvl w:val="0"/>
                <w:numId w:val="37"/>
              </w:numPr>
              <w:spacing w:before="0" w:beforeAutospacing="0" w:after="0" w:afterAutospacing="0"/>
              <w:rPr>
                <w:rFonts w:ascii="Open Sans" w:hAnsi="Open Sans" w:cs="Open Sans"/>
                <w:bCs/>
                <w:color w:val="004B88"/>
                <w:sz w:val="22"/>
                <w:szCs w:val="22"/>
                <w:lang w:val="en-GB"/>
              </w:rPr>
            </w:pPr>
            <w:r w:rsidRPr="0E72825D">
              <w:rPr>
                <w:rFonts w:ascii="Open Sans" w:hAnsi="Open Sans" w:cs="Open Sans"/>
                <w:color w:val="004B88"/>
                <w:sz w:val="22"/>
                <w:szCs w:val="22"/>
                <w:lang w:val="en-GB"/>
              </w:rPr>
              <w:t>Ensure the effective performance management and development of staff through regular supervision sessions, the appraisal process, learning and development, peer support and team meetings;</w:t>
            </w:r>
          </w:p>
          <w:p w14:paraId="374F35AD" w14:textId="77777777" w:rsidR="00553679" w:rsidRPr="00553679" w:rsidRDefault="00553679" w:rsidP="00553679">
            <w:pPr>
              <w:pStyle w:val="NormalWeb"/>
              <w:spacing w:before="0" w:beforeAutospacing="0" w:after="0" w:afterAutospacing="0"/>
              <w:ind w:left="720"/>
              <w:rPr>
                <w:rFonts w:ascii="Open Sans" w:hAnsi="Open Sans" w:cs="Open Sans"/>
                <w:color w:val="004B88"/>
                <w:sz w:val="22"/>
                <w:szCs w:val="22"/>
              </w:rPr>
            </w:pPr>
          </w:p>
        </w:tc>
      </w:tr>
      <w:tr w:rsidR="00115FAB" w:rsidRPr="00553679" w14:paraId="01294372" w14:textId="77777777" w:rsidTr="0E72825D">
        <w:tblPrEx>
          <w:jc w:val="center"/>
        </w:tblPrEx>
        <w:trPr>
          <w:jc w:val="center"/>
        </w:trPr>
        <w:tc>
          <w:tcPr>
            <w:tcW w:w="9628" w:type="dxa"/>
            <w:gridSpan w:val="4"/>
            <w:shd w:val="clear" w:color="auto" w:fill="004B88"/>
          </w:tcPr>
          <w:p w14:paraId="09EA6B76" w14:textId="77777777" w:rsidR="00115FAB" w:rsidRPr="00553679" w:rsidRDefault="008733DF" w:rsidP="00213B87">
            <w:pPr>
              <w:pStyle w:val="NormalWeb"/>
              <w:rPr>
                <w:rFonts w:ascii="Open Sans" w:hAnsi="Open Sans" w:cs="Open Sans"/>
                <w:color w:val="FFFFFF"/>
                <w:sz w:val="22"/>
                <w:szCs w:val="22"/>
                <w:lang w:val="en-GB"/>
              </w:rPr>
            </w:pPr>
            <w:r w:rsidRPr="00553679">
              <w:rPr>
                <w:rFonts w:ascii="Open Sans" w:hAnsi="Open Sans" w:cs="Open Sans"/>
                <w:b/>
                <w:bCs/>
                <w:color w:val="FFFFFF"/>
                <w:sz w:val="22"/>
                <w:szCs w:val="22"/>
                <w:lang w:val="en-GB"/>
              </w:rPr>
              <w:t>Other duties and responsibilities</w:t>
            </w:r>
          </w:p>
        </w:tc>
      </w:tr>
      <w:tr w:rsidR="00115FAB" w:rsidRPr="00553679" w14:paraId="3B8E4A2A" w14:textId="77777777" w:rsidTr="0E72825D">
        <w:tblPrEx>
          <w:jc w:val="center"/>
        </w:tblPrEx>
        <w:trPr>
          <w:trHeight w:val="698"/>
          <w:jc w:val="center"/>
        </w:trPr>
        <w:tc>
          <w:tcPr>
            <w:tcW w:w="9628" w:type="dxa"/>
            <w:gridSpan w:val="4"/>
            <w:tcBorders>
              <w:bottom w:val="single" w:sz="4" w:space="0" w:color="004B88"/>
            </w:tcBorders>
            <w:shd w:val="clear" w:color="auto" w:fill="auto"/>
          </w:tcPr>
          <w:p w14:paraId="270D1B05" w14:textId="77777777" w:rsidR="005F2CA0" w:rsidRPr="00553679" w:rsidRDefault="005F2CA0" w:rsidP="005F2CA0">
            <w:pPr>
              <w:numPr>
                <w:ilvl w:val="0"/>
                <w:numId w:val="29"/>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 xml:space="preserve">Keep up to date with legislation, policies and procedures and undertake appropriate training.  </w:t>
            </w:r>
          </w:p>
          <w:p w14:paraId="3CD267E8" w14:textId="77777777" w:rsidR="008733DF" w:rsidRPr="00553679" w:rsidRDefault="008733DF" w:rsidP="005F2CA0">
            <w:pPr>
              <w:numPr>
                <w:ilvl w:val="0"/>
                <w:numId w:val="29"/>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Keep up to date with Citizens Advice aims, principles and procedures and ensure these are followed.</w:t>
            </w:r>
          </w:p>
          <w:p w14:paraId="7E9DD9FB" w14:textId="77777777" w:rsidR="008733DF" w:rsidRPr="00553679" w:rsidRDefault="008733DF" w:rsidP="005F2CA0">
            <w:pPr>
              <w:numPr>
                <w:ilvl w:val="0"/>
                <w:numId w:val="29"/>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Ensure that work reflects and supports the Citizens Advice service’s equality and diversity strategy.</w:t>
            </w:r>
          </w:p>
          <w:p w14:paraId="08C0734A" w14:textId="77777777" w:rsidR="008733DF" w:rsidRPr="00553679" w:rsidRDefault="008733DF" w:rsidP="005F2CA0">
            <w:pPr>
              <w:numPr>
                <w:ilvl w:val="0"/>
                <w:numId w:val="29"/>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Abide by health and safety guidelines and share responsibility for own health and safety and that of colleagues.</w:t>
            </w:r>
          </w:p>
          <w:p w14:paraId="5A139029" w14:textId="77777777" w:rsidR="00115FAB" w:rsidRPr="00553679" w:rsidRDefault="008733DF" w:rsidP="005F2CA0">
            <w:pPr>
              <w:pStyle w:val="ListParagraph"/>
              <w:numPr>
                <w:ilvl w:val="0"/>
                <w:numId w:val="29"/>
              </w:numPr>
              <w:spacing w:after="100" w:afterAutospacing="1"/>
              <w:rPr>
                <w:rFonts w:ascii="Open Sans" w:hAnsi="Open Sans" w:cs="Open Sans"/>
                <w:color w:val="004B88"/>
                <w:sz w:val="22"/>
                <w:szCs w:val="22"/>
              </w:rPr>
            </w:pPr>
            <w:r w:rsidRPr="00553679">
              <w:rPr>
                <w:rFonts w:ascii="Open Sans" w:hAnsi="Open Sans" w:cs="Open Sans"/>
                <w:color w:val="004B88"/>
                <w:sz w:val="22"/>
                <w:szCs w:val="22"/>
              </w:rPr>
              <w:t>Carry out any other tasks within the scope of the post to ensure the effective delivery and development of the service.</w:t>
            </w:r>
          </w:p>
        </w:tc>
      </w:tr>
      <w:tr w:rsidR="00AC19D4" w:rsidRPr="00553679" w14:paraId="4C2DEF27" w14:textId="77777777" w:rsidTr="0E72825D">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5CBFFBDB" w14:textId="77777777" w:rsidR="00FF0772" w:rsidRPr="00553679" w:rsidRDefault="008733DF" w:rsidP="008D2175">
            <w:pPr>
              <w:pStyle w:val="NormalWeb"/>
              <w:rPr>
                <w:rFonts w:ascii="Open Sans" w:hAnsi="Open Sans" w:cs="Open Sans"/>
                <w:b/>
                <w:bCs/>
                <w:color w:val="FFFFFF"/>
                <w:sz w:val="22"/>
                <w:szCs w:val="22"/>
                <w:lang w:val="en-GB"/>
              </w:rPr>
            </w:pPr>
            <w:r w:rsidRPr="00553679">
              <w:rPr>
                <w:rFonts w:ascii="Open Sans" w:hAnsi="Open Sans" w:cs="Open Sans"/>
                <w:b/>
                <w:bCs/>
                <w:color w:val="FFFFFF"/>
                <w:sz w:val="22"/>
                <w:szCs w:val="22"/>
                <w:lang w:val="en-GB"/>
              </w:rPr>
              <w:t>Training and development</w:t>
            </w:r>
            <w:r w:rsidR="00FF0772" w:rsidRPr="00553679">
              <w:rPr>
                <w:rFonts w:ascii="Open Sans" w:hAnsi="Open Sans" w:cs="Open Sans"/>
                <w:b/>
                <w:bCs/>
                <w:color w:val="FFFFFF"/>
                <w:sz w:val="22"/>
                <w:szCs w:val="22"/>
                <w:lang w:val="en-GB"/>
              </w:rPr>
              <w:t xml:space="preserve"> </w:t>
            </w:r>
          </w:p>
        </w:tc>
      </w:tr>
      <w:tr w:rsidR="00AC19D4" w:rsidRPr="00553679" w14:paraId="006BAF30" w14:textId="77777777" w:rsidTr="0E72825D">
        <w:tblPrEx>
          <w:jc w:val="center"/>
        </w:tblPrEx>
        <w:trPr>
          <w:trHeight w:val="70"/>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14:paraId="193C88E8" w14:textId="77777777" w:rsidR="005F2CA0" w:rsidRPr="00553679" w:rsidRDefault="005F2CA0" w:rsidP="005F2CA0">
            <w:pPr>
              <w:pStyle w:val="ListParagraph"/>
              <w:numPr>
                <w:ilvl w:val="0"/>
                <w:numId w:val="31"/>
              </w:numPr>
              <w:rPr>
                <w:rFonts w:ascii="Open Sans" w:hAnsi="Open Sans" w:cs="Open Sans"/>
                <w:color w:val="004B88"/>
                <w:sz w:val="22"/>
                <w:szCs w:val="22"/>
              </w:rPr>
            </w:pPr>
            <w:r w:rsidRPr="00553679">
              <w:rPr>
                <w:rFonts w:ascii="Open Sans" w:hAnsi="Open Sans" w:cs="Open Sans"/>
                <w:color w:val="004B88"/>
                <w:sz w:val="22"/>
                <w:szCs w:val="22"/>
              </w:rPr>
              <w:t>Complete required training to comply with requirement of the role and quality assurance processes.</w:t>
            </w:r>
          </w:p>
          <w:p w14:paraId="425CE8AC" w14:textId="2D633626" w:rsidR="008733DF" w:rsidRPr="00553679" w:rsidRDefault="008733DF" w:rsidP="008733DF">
            <w:pPr>
              <w:pStyle w:val="ListParagraph"/>
              <w:numPr>
                <w:ilvl w:val="0"/>
                <w:numId w:val="31"/>
              </w:numPr>
              <w:rPr>
                <w:rFonts w:ascii="Open Sans" w:hAnsi="Open Sans" w:cs="Open Sans"/>
                <w:color w:val="004B88"/>
                <w:sz w:val="22"/>
                <w:szCs w:val="22"/>
              </w:rPr>
            </w:pPr>
            <w:r w:rsidRPr="0E72825D">
              <w:rPr>
                <w:rFonts w:ascii="Open Sans" w:hAnsi="Open Sans" w:cs="Open Sans"/>
                <w:color w:val="004B88"/>
                <w:sz w:val="22"/>
                <w:szCs w:val="22"/>
              </w:rPr>
              <w:t>In conjunction w</w:t>
            </w:r>
            <w:r w:rsidR="005F2CA0" w:rsidRPr="0E72825D">
              <w:rPr>
                <w:rFonts w:ascii="Open Sans" w:hAnsi="Open Sans" w:cs="Open Sans"/>
                <w:color w:val="004B88"/>
                <w:sz w:val="22"/>
                <w:szCs w:val="22"/>
              </w:rPr>
              <w:t>ith your line manager identify own training needs</w:t>
            </w:r>
            <w:r w:rsidR="01AE97C3" w:rsidRPr="0E72825D">
              <w:rPr>
                <w:rFonts w:ascii="Open Sans" w:hAnsi="Open Sans" w:cs="Open Sans"/>
                <w:color w:val="004B88"/>
                <w:sz w:val="22"/>
                <w:szCs w:val="22"/>
              </w:rPr>
              <w:t xml:space="preserve"> and undertake relevant training to address these.</w:t>
            </w:r>
            <w:r w:rsidR="005F2CA0" w:rsidRPr="0E72825D">
              <w:rPr>
                <w:rFonts w:ascii="Open Sans" w:hAnsi="Open Sans" w:cs="Open Sans"/>
                <w:color w:val="004B88"/>
                <w:sz w:val="22"/>
                <w:szCs w:val="22"/>
              </w:rPr>
              <w:t xml:space="preserve"> </w:t>
            </w:r>
            <w:r w:rsidRPr="0E72825D">
              <w:rPr>
                <w:rFonts w:ascii="Open Sans" w:hAnsi="Open Sans" w:cs="Open Sans"/>
                <w:color w:val="004B88"/>
                <w:sz w:val="22"/>
                <w:szCs w:val="22"/>
              </w:rPr>
              <w:t xml:space="preserve"> </w:t>
            </w:r>
          </w:p>
          <w:p w14:paraId="0156F7C3" w14:textId="77777777" w:rsidR="008A02DC" w:rsidRPr="00553679" w:rsidRDefault="008A02DC" w:rsidP="005F2CA0">
            <w:pPr>
              <w:pStyle w:val="ListParagraph"/>
              <w:rPr>
                <w:rFonts w:ascii="Open Sans" w:hAnsi="Open Sans" w:cs="Open Sans"/>
                <w:color w:val="004B88"/>
                <w:sz w:val="22"/>
                <w:szCs w:val="22"/>
              </w:rPr>
            </w:pPr>
          </w:p>
        </w:tc>
      </w:tr>
      <w:tr w:rsidR="008733DF" w:rsidRPr="00553679" w14:paraId="4A32327D" w14:textId="77777777" w:rsidTr="0E72825D">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3E2C7285" w14:textId="77777777" w:rsidR="008733DF" w:rsidRPr="00553679" w:rsidRDefault="008733DF" w:rsidP="00C42BDF">
            <w:pPr>
              <w:pStyle w:val="NormalWeb"/>
              <w:rPr>
                <w:rFonts w:ascii="Open Sans" w:hAnsi="Open Sans" w:cs="Open Sans"/>
                <w:b/>
                <w:bCs/>
                <w:color w:val="FFFFFF"/>
                <w:sz w:val="22"/>
                <w:szCs w:val="22"/>
                <w:lang w:val="en-GB"/>
              </w:rPr>
            </w:pPr>
            <w:r w:rsidRPr="00553679">
              <w:rPr>
                <w:rFonts w:ascii="Open Sans" w:hAnsi="Open Sans" w:cs="Open Sans"/>
                <w:b/>
                <w:bCs/>
                <w:color w:val="FFFFFF"/>
                <w:sz w:val="22"/>
                <w:szCs w:val="22"/>
                <w:lang w:val="en-GB"/>
              </w:rPr>
              <w:t xml:space="preserve">Research &amp; Campaigns and monitoring </w:t>
            </w:r>
          </w:p>
        </w:tc>
      </w:tr>
      <w:tr w:rsidR="008733DF" w:rsidRPr="00553679" w14:paraId="03868EF8" w14:textId="77777777" w:rsidTr="0E72825D">
        <w:tblPrEx>
          <w:jc w:val="center"/>
        </w:tblPrEx>
        <w:trPr>
          <w:trHeight w:val="70"/>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14:paraId="02C7D2A9" w14:textId="77777777" w:rsidR="005F2CA0" w:rsidRPr="00553679" w:rsidRDefault="008733DF" w:rsidP="005F2CA0">
            <w:pPr>
              <w:pStyle w:val="ListParagraph"/>
              <w:numPr>
                <w:ilvl w:val="0"/>
                <w:numId w:val="32"/>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Assist with Research &amp; Campaigns work by providing information about clients' circumstances through the appropriate channel.</w:t>
            </w:r>
          </w:p>
          <w:p w14:paraId="46E94A6D" w14:textId="77777777" w:rsidR="005F2CA0" w:rsidRPr="00553679" w:rsidRDefault="005F2CA0" w:rsidP="005F2CA0">
            <w:pPr>
              <w:numPr>
                <w:ilvl w:val="0"/>
                <w:numId w:val="32"/>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 xml:space="preserve">Keep up to date with research and campaign issues and ensure research and campaigns is promoted and integrated in a way relevant to the role. </w:t>
            </w:r>
          </w:p>
          <w:p w14:paraId="7ED917CE" w14:textId="77777777" w:rsidR="008733DF" w:rsidRPr="00553679" w:rsidRDefault="005F2CA0" w:rsidP="005F2CA0">
            <w:pPr>
              <w:pStyle w:val="ListParagraph"/>
              <w:numPr>
                <w:ilvl w:val="0"/>
                <w:numId w:val="32"/>
              </w:num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Alert clients to research and campaign options.</w:t>
            </w:r>
            <w:r w:rsidR="008733DF" w:rsidRPr="00553679">
              <w:rPr>
                <w:rFonts w:ascii="Open Sans" w:hAnsi="Open Sans" w:cs="Open Sans"/>
                <w:color w:val="004B88"/>
                <w:sz w:val="22"/>
                <w:szCs w:val="22"/>
              </w:rPr>
              <w:t xml:space="preserve"> </w:t>
            </w:r>
          </w:p>
          <w:p w14:paraId="6973335E" w14:textId="77777777" w:rsidR="008733DF" w:rsidRPr="00553679" w:rsidRDefault="008733DF" w:rsidP="005F2CA0">
            <w:pPr>
              <w:pStyle w:val="ListParagraph"/>
              <w:numPr>
                <w:ilvl w:val="0"/>
                <w:numId w:val="32"/>
              </w:numPr>
              <w:spacing w:before="100" w:beforeAutospacing="1" w:after="100" w:afterAutospacing="1"/>
              <w:rPr>
                <w:rFonts w:ascii="Calibri" w:hAnsi="Calibri"/>
                <w:sz w:val="22"/>
                <w:szCs w:val="22"/>
              </w:rPr>
            </w:pPr>
            <w:r w:rsidRPr="00553679">
              <w:rPr>
                <w:rFonts w:ascii="Open Sans" w:hAnsi="Open Sans" w:cs="Open Sans"/>
                <w:color w:val="004B88"/>
                <w:sz w:val="22"/>
                <w:szCs w:val="22"/>
              </w:rPr>
              <w:t>Participate in generalist advice related campaigns where appropriate.</w:t>
            </w:r>
            <w:r w:rsidRPr="00553679">
              <w:rPr>
                <w:rFonts w:ascii="Calibri" w:hAnsi="Calibri"/>
                <w:color w:val="004B88"/>
                <w:sz w:val="22"/>
                <w:szCs w:val="22"/>
              </w:rPr>
              <w:t xml:space="preserve">  </w:t>
            </w:r>
          </w:p>
        </w:tc>
      </w:tr>
      <w:tr w:rsidR="00AC19D4" w:rsidRPr="00553679" w14:paraId="70081F87" w14:textId="77777777" w:rsidTr="0E72825D">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5C277032" w14:textId="77777777" w:rsidR="00FF0772" w:rsidRPr="00553679" w:rsidRDefault="00FF0772" w:rsidP="00E97361">
            <w:pPr>
              <w:pStyle w:val="NormalWeb"/>
              <w:rPr>
                <w:rFonts w:ascii="Open Sans" w:hAnsi="Open Sans" w:cs="Open Sans"/>
                <w:color w:val="FFFFFF"/>
                <w:sz w:val="22"/>
                <w:szCs w:val="22"/>
                <w:lang w:val="en-GB"/>
              </w:rPr>
            </w:pPr>
            <w:r w:rsidRPr="00553679">
              <w:rPr>
                <w:rFonts w:ascii="Open Sans" w:hAnsi="Open Sans" w:cs="Open Sans"/>
                <w:b/>
                <w:bCs/>
                <w:color w:val="FFFFFF"/>
                <w:sz w:val="22"/>
                <w:szCs w:val="22"/>
                <w:lang w:val="en-GB"/>
              </w:rPr>
              <w:t>Person specification</w:t>
            </w:r>
            <w:r w:rsidRPr="00553679">
              <w:rPr>
                <w:rFonts w:ascii="Open Sans" w:hAnsi="Open Sans" w:cs="Open Sans"/>
                <w:color w:val="FFFFFF"/>
                <w:sz w:val="22"/>
                <w:szCs w:val="22"/>
                <w:lang w:val="en-GB"/>
              </w:rPr>
              <w:t xml:space="preserve"> </w:t>
            </w:r>
          </w:p>
        </w:tc>
      </w:tr>
      <w:tr w:rsidR="003B5DE1" w:rsidRPr="00553679" w14:paraId="0C037F76" w14:textId="77777777" w:rsidTr="0E72825D">
        <w:tblPrEx>
          <w:jc w:val="center"/>
        </w:tblPrEx>
        <w:trPr>
          <w:trHeight w:val="428"/>
          <w:jc w:val="center"/>
        </w:trPr>
        <w:tc>
          <w:tcPr>
            <w:tcW w:w="7083" w:type="dxa"/>
            <w:gridSpan w:val="2"/>
            <w:tcBorders>
              <w:top w:val="single" w:sz="4" w:space="0" w:color="004B88"/>
              <w:left w:val="single" w:sz="4" w:space="0" w:color="004B88"/>
              <w:bottom w:val="single" w:sz="4" w:space="0" w:color="004B88"/>
              <w:right w:val="single" w:sz="4" w:space="0" w:color="004B88"/>
            </w:tcBorders>
            <w:shd w:val="clear" w:color="auto" w:fill="auto"/>
            <w:vAlign w:val="center"/>
          </w:tcPr>
          <w:p w14:paraId="02AE776E" w14:textId="77777777" w:rsidR="003B5DE1" w:rsidRPr="00553679" w:rsidRDefault="003B5DE1" w:rsidP="00E87788">
            <w:pPr>
              <w:widowControl w:val="0"/>
              <w:rPr>
                <w:rFonts w:ascii="Open Sans" w:eastAsia="Open Sans" w:hAnsi="Open Sans" w:cs="Open Sans"/>
                <w:b/>
                <w:color w:val="004B88"/>
                <w:sz w:val="22"/>
                <w:szCs w:val="22"/>
              </w:rPr>
            </w:pP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A287453" w14:textId="77777777" w:rsidR="003B5DE1" w:rsidRPr="00553679" w:rsidRDefault="003B5DE1" w:rsidP="00E87788">
            <w:pPr>
              <w:widowControl w:val="0"/>
              <w:rPr>
                <w:rFonts w:ascii="Open Sans" w:eastAsia="Open Sans" w:hAnsi="Open Sans" w:cs="Open Sans"/>
                <w:b/>
                <w:color w:val="004B88"/>
                <w:sz w:val="22"/>
                <w:szCs w:val="22"/>
              </w:rPr>
            </w:pPr>
            <w:r w:rsidRPr="00553679">
              <w:rPr>
                <w:rFonts w:ascii="Open Sans" w:eastAsia="Open Sans" w:hAnsi="Open Sans" w:cs="Open Sans"/>
                <w:b/>
                <w:color w:val="004B88"/>
                <w:sz w:val="22"/>
                <w:szCs w:val="22"/>
              </w:rPr>
              <w:t>Essential</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D038B4A" w14:textId="77777777" w:rsidR="003B5DE1" w:rsidRPr="00553679" w:rsidRDefault="003B5DE1" w:rsidP="00E87788">
            <w:pPr>
              <w:widowControl w:val="0"/>
              <w:rPr>
                <w:rFonts w:ascii="Open Sans" w:eastAsia="Open Sans" w:hAnsi="Open Sans" w:cs="Open Sans"/>
                <w:b/>
                <w:color w:val="004B88"/>
                <w:sz w:val="22"/>
                <w:szCs w:val="22"/>
              </w:rPr>
            </w:pPr>
            <w:r w:rsidRPr="00553679">
              <w:rPr>
                <w:rFonts w:ascii="Open Sans" w:eastAsia="Open Sans" w:hAnsi="Open Sans" w:cs="Open Sans"/>
                <w:b/>
                <w:color w:val="004B88"/>
                <w:sz w:val="22"/>
                <w:szCs w:val="22"/>
              </w:rPr>
              <w:t>Desirable</w:t>
            </w:r>
          </w:p>
        </w:tc>
      </w:tr>
      <w:tr w:rsidR="00B67276" w:rsidRPr="00B67276" w14:paraId="24EAC082" w14:textId="77777777" w:rsidTr="0E72825D">
        <w:tblPrEx>
          <w:jc w:val="center"/>
        </w:tblPrEx>
        <w:trPr>
          <w:trHeight w:val="1723"/>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3A66001" w14:textId="62A18BE2" w:rsidR="00B67276" w:rsidRPr="00B67276" w:rsidRDefault="00B67276" w:rsidP="00B6727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lastRenderedPageBreak/>
              <w:t>1.</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0BDAC6E" w14:textId="44C626E6" w:rsidR="00B67276" w:rsidRPr="00B67276" w:rsidRDefault="00B67276" w:rsidP="00D14DF3">
            <w:pPr>
              <w:spacing w:before="100" w:beforeAutospacing="1" w:after="100" w:afterAutospacing="1"/>
              <w:rPr>
                <w:rFonts w:ascii="Open Sans" w:hAnsi="Open Sans" w:cs="Open Sans"/>
                <w:color w:val="004B88"/>
                <w:sz w:val="22"/>
                <w:szCs w:val="22"/>
              </w:rPr>
            </w:pPr>
            <w:r w:rsidRPr="00B67276">
              <w:rPr>
                <w:rFonts w:ascii="Open Sans" w:hAnsi="Open Sans" w:cs="Open Sans"/>
                <w:color w:val="004B88"/>
                <w:sz w:val="22"/>
                <w:szCs w:val="22"/>
              </w:rPr>
              <w:t xml:space="preserve">At least two years recent and ongoing experience of specialist </w:t>
            </w:r>
            <w:r w:rsidR="00D14DF3">
              <w:rPr>
                <w:rFonts w:ascii="Open Sans" w:hAnsi="Open Sans" w:cs="Open Sans"/>
                <w:color w:val="004B88"/>
                <w:sz w:val="22"/>
                <w:szCs w:val="22"/>
              </w:rPr>
              <w:t>money</w:t>
            </w:r>
            <w:r w:rsidRPr="00B67276">
              <w:rPr>
                <w:rFonts w:ascii="Open Sans" w:hAnsi="Open Sans" w:cs="Open Sans"/>
                <w:color w:val="004B88"/>
                <w:sz w:val="22"/>
                <w:szCs w:val="22"/>
              </w:rPr>
              <w:t xml:space="preserve"> advice casework and the ability to meet AQS</w:t>
            </w:r>
            <w:r w:rsidR="00D14DF3">
              <w:rPr>
                <w:rFonts w:ascii="Open Sans" w:hAnsi="Open Sans" w:cs="Open Sans"/>
                <w:color w:val="004B88"/>
                <w:sz w:val="22"/>
                <w:szCs w:val="22"/>
              </w:rPr>
              <w:t xml:space="preserve"> and MaPS</w:t>
            </w:r>
            <w:r w:rsidRPr="00B67276">
              <w:rPr>
                <w:rFonts w:ascii="Open Sans" w:hAnsi="Open Sans" w:cs="Open Sans"/>
                <w:color w:val="004B88"/>
                <w:sz w:val="22"/>
                <w:szCs w:val="22"/>
              </w:rPr>
              <w:t xml:space="preserve"> competence requirements for specialist casework supervision.  </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78CB5EE" w14:textId="2A8D2487" w:rsidR="00B67276" w:rsidRPr="00B67276"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C2C2741" w14:textId="77777777" w:rsidR="00B67276" w:rsidRPr="00B67276" w:rsidRDefault="00B67276" w:rsidP="00B67276">
            <w:pPr>
              <w:widowControl w:val="0"/>
              <w:jc w:val="center"/>
              <w:rPr>
                <w:rFonts w:ascii="Open Sans" w:eastAsia="Open Sans" w:hAnsi="Open Sans" w:cs="Open Sans"/>
                <w:b/>
                <w:color w:val="004B88"/>
                <w:sz w:val="22"/>
                <w:szCs w:val="22"/>
              </w:rPr>
            </w:pPr>
          </w:p>
        </w:tc>
      </w:tr>
      <w:tr w:rsidR="00B67276" w:rsidRPr="00B67276" w14:paraId="113424FB"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8F3AF60" w14:textId="6A804001" w:rsidR="00B67276" w:rsidRPr="00B67276" w:rsidRDefault="00B67276" w:rsidP="00B6727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2.</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79BAD40" w14:textId="336B1336" w:rsidR="00B67276" w:rsidRPr="00B67276" w:rsidRDefault="00B67276" w:rsidP="00B67276">
            <w:pPr>
              <w:spacing w:before="100" w:beforeAutospacing="1" w:after="100" w:afterAutospacing="1"/>
              <w:rPr>
                <w:rFonts w:ascii="Open Sans" w:hAnsi="Open Sans" w:cs="Open Sans"/>
                <w:color w:val="004B88"/>
                <w:sz w:val="22"/>
                <w:szCs w:val="22"/>
              </w:rPr>
            </w:pPr>
            <w:r w:rsidRPr="00B67276">
              <w:rPr>
                <w:rFonts w:ascii="Open Sans" w:hAnsi="Open Sans" w:cs="Open Sans"/>
                <w:color w:val="004B88"/>
                <w:sz w:val="22"/>
                <w:szCs w:val="22"/>
              </w:rPr>
              <w:t>Ability to develop, lead and contribute to a team of paid and volunteer staff,  including the ability to prioritise own work and the work of others, meet deadlines, maintain standards and take decisions in the day to day running of a busy service area</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A522CA4" w14:textId="11622408" w:rsidR="00B67276" w:rsidRPr="00B67276"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D8778DA" w14:textId="77777777" w:rsidR="00B67276" w:rsidRPr="00B67276" w:rsidRDefault="00B67276" w:rsidP="00B67276">
            <w:pPr>
              <w:widowControl w:val="0"/>
              <w:jc w:val="center"/>
              <w:rPr>
                <w:rFonts w:ascii="Open Sans" w:eastAsia="Open Sans" w:hAnsi="Open Sans" w:cs="Open Sans"/>
                <w:b/>
                <w:color w:val="004B88"/>
                <w:sz w:val="22"/>
                <w:szCs w:val="22"/>
              </w:rPr>
            </w:pPr>
          </w:p>
        </w:tc>
      </w:tr>
      <w:tr w:rsidR="00B67276" w:rsidRPr="00553679" w14:paraId="368C5E85"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125E875" w14:textId="332B83F7" w:rsidR="00B67276" w:rsidRPr="00553679" w:rsidRDefault="00443415" w:rsidP="00B6727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3</w:t>
            </w:r>
            <w:r w:rsidR="00B6727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653B821" w14:textId="20A83771" w:rsidR="00B67276" w:rsidRPr="00553679" w:rsidRDefault="00B67276" w:rsidP="00D14DF3">
            <w:pPr>
              <w:spacing w:after="160" w:line="259" w:lineRule="auto"/>
              <w:contextualSpacing/>
              <w:jc w:val="both"/>
              <w:rPr>
                <w:rFonts w:ascii="Open Sans" w:eastAsiaTheme="minorHAnsi" w:hAnsi="Open Sans" w:cs="Open Sans"/>
                <w:color w:val="1F4E79" w:themeColor="accent1" w:themeShade="80"/>
                <w:sz w:val="22"/>
                <w:szCs w:val="22"/>
                <w:lang w:val="en" w:eastAsia="en-US"/>
              </w:rPr>
            </w:pPr>
            <w:r w:rsidRPr="00553679">
              <w:rPr>
                <w:rFonts w:ascii="Open Sans" w:eastAsiaTheme="minorHAnsi" w:hAnsi="Open Sans" w:cs="Open Sans"/>
                <w:color w:val="1F4E79" w:themeColor="accent1" w:themeShade="80"/>
                <w:sz w:val="22"/>
                <w:szCs w:val="22"/>
                <w:lang w:val="en" w:eastAsia="en-US"/>
              </w:rPr>
              <w:t xml:space="preserve">In depth knowledge and recent experience of </w:t>
            </w:r>
            <w:r w:rsidR="00D14DF3">
              <w:rPr>
                <w:rFonts w:ascii="Open Sans" w:eastAsiaTheme="minorHAnsi" w:hAnsi="Open Sans" w:cs="Open Sans"/>
                <w:color w:val="1F4E79" w:themeColor="accent1" w:themeShade="80"/>
                <w:sz w:val="22"/>
                <w:szCs w:val="22"/>
                <w:lang w:val="en" w:eastAsia="en-US"/>
              </w:rPr>
              <w:t>money advice</w:t>
            </w:r>
            <w:r w:rsidRPr="00553679">
              <w:rPr>
                <w:rFonts w:ascii="Open Sans" w:eastAsiaTheme="minorHAnsi" w:hAnsi="Open Sans" w:cs="Open Sans"/>
                <w:color w:val="1F4E79" w:themeColor="accent1" w:themeShade="80"/>
                <w:sz w:val="22"/>
                <w:szCs w:val="22"/>
                <w:lang w:val="en" w:eastAsia="en-US"/>
              </w:rPr>
              <w:t xml:space="preserve"> legislation</w:t>
            </w:r>
            <w:r w:rsidR="00D14DF3">
              <w:rPr>
                <w:rFonts w:ascii="Open Sans" w:eastAsiaTheme="minorHAnsi" w:hAnsi="Open Sans" w:cs="Open Sans"/>
                <w:color w:val="1F4E79" w:themeColor="accent1" w:themeShade="80"/>
                <w:sz w:val="22"/>
                <w:szCs w:val="22"/>
                <w:lang w:val="en" w:eastAsia="en-US"/>
              </w:rPr>
              <w:t xml:space="preserve"> and guidance</w:t>
            </w:r>
            <w:r w:rsidRPr="00553679">
              <w:rPr>
                <w:rFonts w:ascii="Open Sans" w:eastAsiaTheme="minorHAnsi" w:hAnsi="Open Sans" w:cs="Open Sans"/>
                <w:color w:val="1F4E79" w:themeColor="accent1" w:themeShade="80"/>
                <w:sz w:val="22"/>
                <w:szCs w:val="22"/>
                <w:lang w:val="en" w:eastAsia="en-US"/>
              </w:rPr>
              <w:t xml:space="preserve">. </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4CBABEB" w14:textId="77777777" w:rsidR="00B67276" w:rsidRPr="00553679"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48F3FB8" w14:textId="77777777" w:rsidR="00B67276" w:rsidRPr="00553679" w:rsidRDefault="00B67276" w:rsidP="00B67276">
            <w:pPr>
              <w:widowControl w:val="0"/>
              <w:jc w:val="center"/>
              <w:rPr>
                <w:rFonts w:ascii="Open Sans" w:eastAsia="Open Sans" w:hAnsi="Open Sans" w:cs="Open Sans"/>
                <w:b/>
                <w:color w:val="004B88"/>
                <w:sz w:val="22"/>
                <w:szCs w:val="22"/>
              </w:rPr>
            </w:pPr>
          </w:p>
        </w:tc>
      </w:tr>
      <w:tr w:rsidR="00B67276" w:rsidRPr="00553679" w14:paraId="0570D4DD"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212E4B7" w14:textId="7E86EF82" w:rsidR="00B67276" w:rsidRPr="00553679" w:rsidRDefault="00443415" w:rsidP="00B6727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4</w:t>
            </w:r>
            <w:r w:rsidR="00B6727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9DD167F" w14:textId="77777777" w:rsidR="00B67276" w:rsidRPr="00553679" w:rsidRDefault="00B67276" w:rsidP="00B67276">
            <w:p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Ability to research, analyse and interpret complex information and produce and present clear reports verbally and in writing.</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1B4F40E" w14:textId="77777777" w:rsidR="00B67276" w:rsidRPr="00553679"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603A8D4" w14:textId="77777777" w:rsidR="00B67276" w:rsidRPr="00553679" w:rsidRDefault="00B67276" w:rsidP="00B67276">
            <w:pPr>
              <w:widowControl w:val="0"/>
              <w:jc w:val="center"/>
              <w:rPr>
                <w:rFonts w:ascii="Open Sans" w:eastAsia="Open Sans" w:hAnsi="Open Sans" w:cs="Open Sans"/>
                <w:b/>
                <w:color w:val="004B88"/>
                <w:sz w:val="22"/>
                <w:szCs w:val="22"/>
              </w:rPr>
            </w:pPr>
          </w:p>
        </w:tc>
      </w:tr>
      <w:tr w:rsidR="00B67276" w:rsidRPr="00553679" w14:paraId="50EE91AC"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4A2E1E6" w14:textId="646A7101" w:rsidR="00B67276" w:rsidRPr="00553679" w:rsidRDefault="00443415" w:rsidP="00B6727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5</w:t>
            </w:r>
            <w:r w:rsidR="00B6727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7C11691" w14:textId="77777777" w:rsidR="00B67276" w:rsidRPr="00553679" w:rsidRDefault="00B67276" w:rsidP="00B67276">
            <w:p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Effective writing skills with particular emphasis on negotiating, representing and preparing reviews, reports and correspondence.</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58B5C45" w14:textId="77777777" w:rsidR="00B67276" w:rsidRPr="00553679"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E5F8142" w14:textId="77777777" w:rsidR="00B67276" w:rsidRPr="00553679" w:rsidRDefault="00B67276" w:rsidP="00B67276">
            <w:pPr>
              <w:widowControl w:val="0"/>
              <w:jc w:val="center"/>
              <w:rPr>
                <w:rFonts w:ascii="Open Sans" w:eastAsia="Open Sans" w:hAnsi="Open Sans" w:cs="Open Sans"/>
                <w:b/>
                <w:color w:val="004B88"/>
                <w:sz w:val="22"/>
                <w:szCs w:val="22"/>
              </w:rPr>
            </w:pPr>
          </w:p>
        </w:tc>
      </w:tr>
      <w:tr w:rsidR="00B67276" w:rsidRPr="00553679" w14:paraId="7B246FCE"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6E7B404" w14:textId="401D6E13" w:rsidR="00B67276" w:rsidRPr="00553679" w:rsidRDefault="00443415" w:rsidP="00B6727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6</w:t>
            </w:r>
            <w:r w:rsidR="00B6727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1F1CE4D" w14:textId="77777777" w:rsidR="00B67276" w:rsidRPr="00553679" w:rsidRDefault="00B67276" w:rsidP="00B67276">
            <w:pPr>
              <w:spacing w:before="100" w:beforeAutospacing="1" w:after="100" w:afterAutospacing="1"/>
              <w:rPr>
                <w:rFonts w:ascii="Open Sans" w:hAnsi="Open Sans" w:cs="Open Sans"/>
                <w:color w:val="004B88"/>
                <w:sz w:val="22"/>
                <w:szCs w:val="22"/>
              </w:rPr>
            </w:pPr>
            <w:r w:rsidRPr="00553679">
              <w:rPr>
                <w:rFonts w:ascii="Open Sans" w:hAnsi="Open Sans" w:cs="Open Sans"/>
                <w:color w:val="004B88"/>
                <w:sz w:val="22"/>
                <w:szCs w:val="22"/>
              </w:rPr>
              <w:t xml:space="preserve">Ability to use a variety of IT/digital systems and packages. </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484396F" w14:textId="77777777" w:rsidR="00B67276" w:rsidRPr="00553679"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F9C52E2" w14:textId="77777777" w:rsidR="00B67276" w:rsidRPr="00553679" w:rsidRDefault="00B67276" w:rsidP="00B67276">
            <w:pPr>
              <w:widowControl w:val="0"/>
              <w:jc w:val="center"/>
              <w:rPr>
                <w:rFonts w:ascii="Open Sans" w:eastAsia="Open Sans" w:hAnsi="Open Sans" w:cs="Open Sans"/>
                <w:b/>
                <w:color w:val="004B88"/>
                <w:sz w:val="22"/>
                <w:szCs w:val="22"/>
              </w:rPr>
            </w:pPr>
          </w:p>
        </w:tc>
      </w:tr>
      <w:tr w:rsidR="00B67276" w:rsidRPr="00553679" w14:paraId="3FB7FDC2"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FE22B85" w14:textId="16CF06A6" w:rsidR="00B67276" w:rsidRPr="00553679" w:rsidRDefault="00443415" w:rsidP="00B6727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7</w:t>
            </w:r>
            <w:r w:rsidR="00B6727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2AC668E" w14:textId="4D4B9099" w:rsidR="00B67276" w:rsidRPr="00553679" w:rsidRDefault="00B67276" w:rsidP="00B6727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 xml:space="preserve">Ability </w:t>
            </w:r>
            <w:r w:rsidR="00D14DF3">
              <w:rPr>
                <w:rFonts w:ascii="Open Sans" w:eastAsia="Open Sans" w:hAnsi="Open Sans" w:cs="Open Sans"/>
                <w:color w:val="004B88"/>
                <w:sz w:val="22"/>
                <w:szCs w:val="22"/>
              </w:rPr>
              <w:t>to act as technical lead</w:t>
            </w:r>
            <w:r w:rsidRPr="00553679">
              <w:rPr>
                <w:rFonts w:ascii="Open Sans" w:eastAsia="Open Sans" w:hAnsi="Open Sans" w:cs="Open Sans"/>
                <w:color w:val="004B88"/>
                <w:sz w:val="22"/>
                <w:szCs w:val="22"/>
              </w:rPr>
              <w:t xml:space="preserve"> on matt</w:t>
            </w:r>
            <w:r w:rsidR="00D14DF3">
              <w:rPr>
                <w:rFonts w:ascii="Open Sans" w:eastAsia="Open Sans" w:hAnsi="Open Sans" w:cs="Open Sans"/>
                <w:color w:val="004B88"/>
                <w:sz w:val="22"/>
                <w:szCs w:val="22"/>
              </w:rPr>
              <w:t>ers relating to money advice</w:t>
            </w:r>
            <w:r w:rsidRPr="00553679">
              <w:rPr>
                <w:rFonts w:ascii="Open Sans" w:eastAsia="Open Sans" w:hAnsi="Open Sans" w:cs="Open Sans"/>
                <w:color w:val="004B88"/>
                <w:sz w:val="22"/>
                <w:szCs w:val="22"/>
              </w:rPr>
              <w:t xml:space="preserve"> to staff at CANS</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AE73C3E" w14:textId="77777777" w:rsidR="00B67276" w:rsidRPr="00553679" w:rsidRDefault="00B67276" w:rsidP="00B6727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3FEC427" w14:textId="77777777" w:rsidR="00B67276" w:rsidRPr="00553679" w:rsidRDefault="00B67276" w:rsidP="00B67276">
            <w:pPr>
              <w:widowControl w:val="0"/>
              <w:jc w:val="center"/>
              <w:rPr>
                <w:rFonts w:ascii="Open Sans" w:eastAsia="Open Sans" w:hAnsi="Open Sans" w:cs="Open Sans"/>
                <w:b/>
                <w:color w:val="004B88"/>
                <w:sz w:val="22"/>
                <w:szCs w:val="22"/>
              </w:rPr>
            </w:pPr>
          </w:p>
        </w:tc>
      </w:tr>
      <w:tr w:rsidR="00A179E6" w:rsidRPr="00553679" w14:paraId="65823632"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08EE368" w14:textId="351B02E4" w:rsidR="00A179E6" w:rsidRPr="00553679" w:rsidRDefault="00443415" w:rsidP="00A179E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8</w:t>
            </w:r>
            <w:r w:rsidR="00A179E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4B6BDC9" w14:textId="77777777" w:rsidR="00A179E6" w:rsidRPr="00553679" w:rsidRDefault="00A179E6" w:rsidP="00A179E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Ability to give and receive feedback objectively and sensitively and a willingness to challenge constructively.</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19B99EC" w14:textId="77777777" w:rsidR="00A179E6" w:rsidRPr="00553679" w:rsidRDefault="00A179E6" w:rsidP="00A179E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96C944D" w14:textId="77777777" w:rsidR="00A179E6" w:rsidRPr="00553679" w:rsidRDefault="00A179E6" w:rsidP="00A179E6">
            <w:pPr>
              <w:widowControl w:val="0"/>
              <w:jc w:val="center"/>
              <w:rPr>
                <w:rFonts w:ascii="Open Sans" w:eastAsia="Open Sans" w:hAnsi="Open Sans" w:cs="Open Sans"/>
                <w:b/>
                <w:color w:val="004B88"/>
                <w:sz w:val="22"/>
                <w:szCs w:val="22"/>
              </w:rPr>
            </w:pPr>
          </w:p>
        </w:tc>
      </w:tr>
      <w:tr w:rsidR="00A179E6" w:rsidRPr="00553679" w14:paraId="0E4A7610"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F661ADE" w14:textId="559D1736" w:rsidR="00A179E6" w:rsidRPr="00553679" w:rsidRDefault="00443415" w:rsidP="00A179E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9</w:t>
            </w:r>
            <w:r w:rsidR="00A179E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B219669" w14:textId="77777777" w:rsidR="00A179E6" w:rsidRPr="00553679" w:rsidRDefault="00A179E6" w:rsidP="00A179E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Ability to work with a variety of organisations and to earn and maintain the trust and respect of those people with whom the organisation deals</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293F2DD" w14:textId="77777777" w:rsidR="00A179E6" w:rsidRPr="00553679" w:rsidRDefault="00A179E6" w:rsidP="00A179E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0D8F562" w14:textId="77777777" w:rsidR="00A179E6" w:rsidRPr="00553679" w:rsidRDefault="00A179E6" w:rsidP="00A179E6">
            <w:pPr>
              <w:widowControl w:val="0"/>
              <w:jc w:val="center"/>
              <w:rPr>
                <w:rFonts w:ascii="Open Sans" w:eastAsia="Open Sans" w:hAnsi="Open Sans" w:cs="Open Sans"/>
                <w:b/>
                <w:color w:val="004B88"/>
                <w:sz w:val="22"/>
                <w:szCs w:val="22"/>
              </w:rPr>
            </w:pPr>
          </w:p>
        </w:tc>
      </w:tr>
      <w:tr w:rsidR="00A179E6" w:rsidRPr="00553679" w14:paraId="33300511"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9A005E6" w14:textId="28A9382E" w:rsidR="00A179E6" w:rsidRPr="00553679" w:rsidRDefault="00443415" w:rsidP="00A179E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10</w:t>
            </w:r>
            <w:r w:rsidR="00A179E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B0F2A55" w14:textId="77777777" w:rsidR="00A179E6" w:rsidRPr="00553679" w:rsidRDefault="00A179E6" w:rsidP="00A179E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 xml:space="preserve">Proven understanding of equality and diversity and its application to the provision of advice.  </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FD800A8" w14:textId="77777777" w:rsidR="00A179E6" w:rsidRPr="00553679" w:rsidRDefault="00A179E6" w:rsidP="00A179E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C9DF795" w14:textId="77777777" w:rsidR="00A179E6" w:rsidRPr="00553679" w:rsidRDefault="00A179E6" w:rsidP="00A179E6">
            <w:pPr>
              <w:widowControl w:val="0"/>
              <w:jc w:val="center"/>
              <w:rPr>
                <w:rFonts w:ascii="Open Sans" w:eastAsia="Open Sans" w:hAnsi="Open Sans" w:cs="Open Sans"/>
                <w:b/>
                <w:color w:val="004B88"/>
                <w:sz w:val="22"/>
                <w:szCs w:val="22"/>
              </w:rPr>
            </w:pPr>
          </w:p>
        </w:tc>
      </w:tr>
      <w:tr w:rsidR="00A179E6" w:rsidRPr="00553679" w14:paraId="4E28C483"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43F3344" w14:textId="171661A6" w:rsidR="00A179E6" w:rsidRPr="00553679" w:rsidRDefault="00443415" w:rsidP="00A179E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11</w:t>
            </w:r>
            <w:r w:rsidR="00A179E6" w:rsidRPr="00553679">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79EAC98" w14:textId="77777777" w:rsidR="00A179E6" w:rsidRPr="00553679" w:rsidRDefault="00A179E6" w:rsidP="00A179E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Understanding of the issues affecting society and their implications for clients and service provision and a commitment to the organisations research &amp; campaigns programme</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D50047B" w14:textId="77777777" w:rsidR="00A179E6" w:rsidRPr="00553679" w:rsidRDefault="00A179E6" w:rsidP="00A179E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1C8C48A" w14:textId="77777777" w:rsidR="00A179E6" w:rsidRPr="00553679" w:rsidRDefault="00A179E6" w:rsidP="00A179E6">
            <w:pPr>
              <w:widowControl w:val="0"/>
              <w:jc w:val="center"/>
              <w:rPr>
                <w:rFonts w:ascii="Open Sans" w:eastAsia="Open Sans" w:hAnsi="Open Sans" w:cs="Open Sans"/>
                <w:b/>
                <w:color w:val="004B88"/>
                <w:sz w:val="22"/>
                <w:szCs w:val="22"/>
              </w:rPr>
            </w:pPr>
          </w:p>
        </w:tc>
      </w:tr>
      <w:tr w:rsidR="00A179E6" w:rsidRPr="00553679" w14:paraId="5CEA6199"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D07C264" w14:textId="1E26EEC7" w:rsidR="00A179E6" w:rsidRPr="00553679" w:rsidRDefault="00443415" w:rsidP="00A179E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12</w:t>
            </w:r>
            <w:r w:rsidR="00A179E6">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DB91FE9" w14:textId="77777777" w:rsidR="00A179E6" w:rsidRPr="00553679" w:rsidRDefault="00A179E6" w:rsidP="00A179E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Understanding of and commitment to the aims and principles of Citizens Advice service and its equal opportunities policies.</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20A2694" w14:textId="77777777" w:rsidR="00A179E6" w:rsidRPr="00553679" w:rsidRDefault="00A179E6" w:rsidP="00A179E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A76DC33" w14:textId="77777777" w:rsidR="00A179E6" w:rsidRPr="00553679" w:rsidRDefault="00A179E6" w:rsidP="00A179E6">
            <w:pPr>
              <w:widowControl w:val="0"/>
              <w:jc w:val="center"/>
              <w:rPr>
                <w:rFonts w:ascii="Open Sans" w:eastAsia="Open Sans" w:hAnsi="Open Sans" w:cs="Open Sans"/>
                <w:b/>
                <w:color w:val="004B88"/>
                <w:sz w:val="22"/>
                <w:szCs w:val="22"/>
              </w:rPr>
            </w:pPr>
          </w:p>
        </w:tc>
      </w:tr>
      <w:tr w:rsidR="00A179E6" w:rsidRPr="00553679" w14:paraId="1BA4E1FA" w14:textId="77777777" w:rsidTr="0E72825D">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6AF18F4" w14:textId="2FE335C5" w:rsidR="00A179E6" w:rsidRPr="00553679" w:rsidRDefault="00443415" w:rsidP="00A179E6">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13</w:t>
            </w:r>
            <w:r w:rsidR="00A179E6">
              <w:rPr>
                <w:rFonts w:ascii="Open Sans" w:eastAsia="Open Sans" w:hAnsi="Open Sans" w:cs="Open Sans"/>
                <w:color w:val="004B88"/>
                <w:sz w:val="22"/>
                <w:szCs w:val="22"/>
              </w:rPr>
              <w:t>.</w:t>
            </w:r>
          </w:p>
        </w:tc>
        <w:tc>
          <w:tcPr>
            <w:tcW w:w="64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65D1179" w14:textId="77777777" w:rsidR="00A179E6" w:rsidRPr="00553679" w:rsidRDefault="00A179E6" w:rsidP="00A179E6">
            <w:pPr>
              <w:widowControl w:val="0"/>
              <w:rPr>
                <w:rFonts w:ascii="Open Sans" w:eastAsia="Open Sans" w:hAnsi="Open Sans" w:cs="Open Sans"/>
                <w:color w:val="004B88"/>
                <w:sz w:val="22"/>
                <w:szCs w:val="22"/>
              </w:rPr>
            </w:pPr>
            <w:r w:rsidRPr="00553679">
              <w:rPr>
                <w:rFonts w:ascii="Open Sans" w:eastAsia="Open Sans" w:hAnsi="Open Sans" w:cs="Open Sans"/>
                <w:color w:val="004B88"/>
                <w:sz w:val="22"/>
                <w:szCs w:val="22"/>
              </w:rPr>
              <w:t>Commitment to continuing professional development</w:t>
            </w:r>
          </w:p>
        </w:tc>
        <w:tc>
          <w:tcPr>
            <w:tcW w:w="1276"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B7417B6" w14:textId="77777777" w:rsidR="00A179E6" w:rsidRPr="00553679" w:rsidRDefault="00A179E6" w:rsidP="00A179E6">
            <w:pPr>
              <w:widowControl w:val="0"/>
              <w:jc w:val="center"/>
              <w:rPr>
                <w:rFonts w:ascii="Open Sans" w:eastAsia="Open Sans" w:hAnsi="Open Sans" w:cs="Open Sans"/>
                <w:b/>
                <w:color w:val="004B88"/>
                <w:sz w:val="22"/>
                <w:szCs w:val="22"/>
              </w:rPr>
            </w:pPr>
            <w:r w:rsidRPr="00553679">
              <w:rPr>
                <w:rFonts w:ascii="Wingdings" w:eastAsia="Wingdings" w:hAnsi="Wingdings" w:cs="Wingdings"/>
                <w:b/>
                <w:color w:val="004B88"/>
                <w:sz w:val="22"/>
                <w:szCs w:val="22"/>
              </w:rPr>
              <w:t></w:t>
            </w:r>
          </w:p>
        </w:tc>
        <w:tc>
          <w:tcPr>
            <w:tcW w:w="126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FBE8945" w14:textId="77777777" w:rsidR="00A179E6" w:rsidRPr="00553679" w:rsidRDefault="00A179E6" w:rsidP="00A179E6">
            <w:pPr>
              <w:widowControl w:val="0"/>
              <w:jc w:val="center"/>
              <w:rPr>
                <w:rFonts w:ascii="Open Sans" w:eastAsia="Open Sans" w:hAnsi="Open Sans" w:cs="Open Sans"/>
                <w:b/>
                <w:color w:val="004B88"/>
                <w:sz w:val="22"/>
                <w:szCs w:val="22"/>
              </w:rPr>
            </w:pPr>
          </w:p>
        </w:tc>
      </w:tr>
    </w:tbl>
    <w:p w14:paraId="1F7DF95B" w14:textId="77777777" w:rsidR="00993146" w:rsidRPr="00553679" w:rsidRDefault="00993146" w:rsidP="000B573D">
      <w:pPr>
        <w:rPr>
          <w:rFonts w:ascii="Open Sans" w:hAnsi="Open Sans" w:cs="Open Sans"/>
          <w:color w:val="004B88"/>
          <w:sz w:val="22"/>
          <w:szCs w:val="22"/>
        </w:rPr>
      </w:pPr>
    </w:p>
    <w:p w14:paraId="3ED3E11D" w14:textId="77777777" w:rsidR="009763B4" w:rsidRPr="00553679" w:rsidRDefault="009763B4" w:rsidP="009763B4">
      <w:pPr>
        <w:jc w:val="both"/>
        <w:rPr>
          <w:sz w:val="22"/>
          <w:szCs w:val="22"/>
        </w:rPr>
      </w:pPr>
      <w:r w:rsidRPr="00553679">
        <w:rPr>
          <w:rFonts w:ascii="Open Sans" w:hAnsi="Open Sans" w:cs="Open Sans"/>
          <w:color w:val="004888"/>
          <w:sz w:val="22"/>
          <w:szCs w:val="22"/>
        </w:rPr>
        <w:t>In accordance with Citizen</w:t>
      </w:r>
      <w:r w:rsidR="00EA5C78" w:rsidRPr="00553679">
        <w:rPr>
          <w:rFonts w:ascii="Open Sans" w:hAnsi="Open Sans" w:cs="Open Sans"/>
          <w:color w:val="004888"/>
          <w:sz w:val="22"/>
          <w:szCs w:val="22"/>
        </w:rPr>
        <w:t>s Advice national policy we</w:t>
      </w:r>
      <w:r w:rsidRPr="00553679">
        <w:rPr>
          <w:rFonts w:ascii="Open Sans" w:hAnsi="Open Sans" w:cs="Open Sans"/>
          <w:color w:val="004888"/>
          <w:sz w:val="22"/>
          <w:szCs w:val="22"/>
        </w:rPr>
        <w:t xml:space="preserve"> may</w:t>
      </w:r>
      <w:r w:rsidR="00EA5C78" w:rsidRPr="00553679">
        <w:rPr>
          <w:rFonts w:ascii="Open Sans" w:hAnsi="Open Sans" w:cs="Open Sans"/>
          <w:color w:val="004888"/>
          <w:sz w:val="22"/>
          <w:szCs w:val="22"/>
        </w:rPr>
        <w:t xml:space="preserve"> require</w:t>
      </w:r>
      <w:r w:rsidRPr="00553679">
        <w:rPr>
          <w:rFonts w:ascii="Open Sans" w:hAnsi="Open Sans" w:cs="Open Sans"/>
          <w:color w:val="004888"/>
          <w:sz w:val="22"/>
          <w:szCs w:val="22"/>
        </w:rPr>
        <w:t xml:space="preserve"> the successful candidate to be screened by the DBS. However, a criminal record will not necessarily be a bar to your being able to take up the job.</w:t>
      </w:r>
    </w:p>
    <w:p w14:paraId="616FF332" w14:textId="77777777" w:rsidR="009763B4" w:rsidRPr="00553679" w:rsidRDefault="009763B4" w:rsidP="000B573D">
      <w:pPr>
        <w:rPr>
          <w:rFonts w:ascii="Open Sans" w:hAnsi="Open Sans" w:cs="Open Sans"/>
          <w:color w:val="004B88"/>
          <w:sz w:val="22"/>
          <w:szCs w:val="22"/>
        </w:rPr>
      </w:pPr>
    </w:p>
    <w:sectPr w:rsidR="009763B4" w:rsidRPr="00553679" w:rsidSect="0026761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BEEDB" w14:textId="77777777" w:rsidR="00125D3A" w:rsidRDefault="00125D3A" w:rsidP="00F073A9">
      <w:r>
        <w:separator/>
      </w:r>
    </w:p>
  </w:endnote>
  <w:endnote w:type="continuationSeparator" w:id="0">
    <w:p w14:paraId="1F1414AE" w14:textId="77777777" w:rsidR="00125D3A" w:rsidRDefault="00125D3A" w:rsidP="00F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798A" w14:textId="61AB1A9E" w:rsidR="00313720" w:rsidRPr="00AC19D4" w:rsidRDefault="00FE0DA0" w:rsidP="00810B76">
    <w:pPr>
      <w:pStyle w:val="Footer"/>
      <w:rPr>
        <w:rFonts w:ascii="Calibri" w:hAnsi="Calibri"/>
        <w:color w:val="004B88"/>
        <w:sz w:val="20"/>
        <w:szCs w:val="20"/>
      </w:rPr>
    </w:pPr>
    <w:r>
      <w:rPr>
        <w:rFonts w:ascii="Calibri" w:hAnsi="Calibri"/>
        <w:color w:val="004B88"/>
        <w:sz w:val="20"/>
        <w:szCs w:val="20"/>
      </w:rPr>
      <w:t>Sept 2020</w:t>
    </w:r>
  </w:p>
  <w:p w14:paraId="25CA99F9" w14:textId="0CE54D40" w:rsidR="00313720" w:rsidRPr="00AC19D4" w:rsidRDefault="00313720" w:rsidP="00810B76">
    <w:pPr>
      <w:pStyle w:val="Footer"/>
      <w:jc w:val="center"/>
      <w:rPr>
        <w:rFonts w:ascii="Calibri" w:hAnsi="Calibri"/>
        <w:color w:val="004B88"/>
        <w:sz w:val="20"/>
        <w:szCs w:val="20"/>
      </w:rPr>
    </w:pPr>
    <w:r w:rsidRPr="00AC19D4">
      <w:rPr>
        <w:rFonts w:ascii="Calibri" w:hAnsi="Calibri"/>
        <w:color w:val="004B88"/>
        <w:sz w:val="20"/>
        <w:szCs w:val="20"/>
      </w:rPr>
      <w:t xml:space="preserve">Page </w:t>
    </w:r>
    <w:r w:rsidRPr="00AC19D4">
      <w:rPr>
        <w:rFonts w:ascii="Calibri" w:hAnsi="Calibri"/>
        <w:color w:val="004B88"/>
        <w:sz w:val="20"/>
        <w:szCs w:val="20"/>
      </w:rPr>
      <w:fldChar w:fldCharType="begin"/>
    </w:r>
    <w:r w:rsidRPr="00AC19D4">
      <w:rPr>
        <w:rFonts w:ascii="Calibri" w:hAnsi="Calibri"/>
        <w:color w:val="004B88"/>
        <w:sz w:val="20"/>
        <w:szCs w:val="20"/>
      </w:rPr>
      <w:instrText xml:space="preserve"> PAGE </w:instrText>
    </w:r>
    <w:r w:rsidRPr="00AC19D4">
      <w:rPr>
        <w:rFonts w:ascii="Calibri" w:hAnsi="Calibri"/>
        <w:color w:val="004B88"/>
        <w:sz w:val="20"/>
        <w:szCs w:val="20"/>
      </w:rPr>
      <w:fldChar w:fldCharType="separate"/>
    </w:r>
    <w:r w:rsidR="00A12286">
      <w:rPr>
        <w:rFonts w:ascii="Calibri" w:hAnsi="Calibri"/>
        <w:noProof/>
        <w:color w:val="004B88"/>
        <w:sz w:val="20"/>
        <w:szCs w:val="20"/>
      </w:rPr>
      <w:t>1</w:t>
    </w:r>
    <w:r w:rsidRPr="00AC19D4">
      <w:rPr>
        <w:rFonts w:ascii="Calibri" w:hAnsi="Calibri"/>
        <w:color w:val="004B88"/>
        <w:sz w:val="20"/>
        <w:szCs w:val="20"/>
      </w:rPr>
      <w:fldChar w:fldCharType="end"/>
    </w:r>
    <w:r w:rsidRPr="00AC19D4">
      <w:rPr>
        <w:rFonts w:ascii="Calibri" w:hAnsi="Calibri"/>
        <w:color w:val="004B88"/>
        <w:sz w:val="20"/>
        <w:szCs w:val="20"/>
      </w:rPr>
      <w:t xml:space="preserve"> of </w:t>
    </w:r>
    <w:r w:rsidRPr="00AC19D4">
      <w:rPr>
        <w:rFonts w:ascii="Calibri" w:hAnsi="Calibri"/>
        <w:color w:val="004B88"/>
        <w:sz w:val="20"/>
        <w:szCs w:val="20"/>
      </w:rPr>
      <w:fldChar w:fldCharType="begin"/>
    </w:r>
    <w:r w:rsidRPr="00AC19D4">
      <w:rPr>
        <w:rFonts w:ascii="Calibri" w:hAnsi="Calibri"/>
        <w:color w:val="004B88"/>
        <w:sz w:val="20"/>
        <w:szCs w:val="20"/>
      </w:rPr>
      <w:instrText xml:space="preserve"> NUMPAGES </w:instrText>
    </w:r>
    <w:r w:rsidRPr="00AC19D4">
      <w:rPr>
        <w:rFonts w:ascii="Calibri" w:hAnsi="Calibri"/>
        <w:color w:val="004B88"/>
        <w:sz w:val="20"/>
        <w:szCs w:val="20"/>
      </w:rPr>
      <w:fldChar w:fldCharType="separate"/>
    </w:r>
    <w:r w:rsidR="00A12286">
      <w:rPr>
        <w:rFonts w:ascii="Calibri" w:hAnsi="Calibri"/>
        <w:noProof/>
        <w:color w:val="004B88"/>
        <w:sz w:val="20"/>
        <w:szCs w:val="20"/>
      </w:rPr>
      <w:t>3</w:t>
    </w:r>
    <w:r w:rsidRPr="00AC19D4">
      <w:rPr>
        <w:rFonts w:ascii="Calibri" w:hAnsi="Calibri"/>
        <w:color w:val="004B88"/>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143F8" w14:textId="77777777" w:rsidR="00125D3A" w:rsidRDefault="00125D3A" w:rsidP="00F073A9">
      <w:r>
        <w:separator/>
      </w:r>
    </w:p>
  </w:footnote>
  <w:footnote w:type="continuationSeparator" w:id="0">
    <w:p w14:paraId="72881A63" w14:textId="77777777" w:rsidR="00125D3A" w:rsidRDefault="00125D3A" w:rsidP="00F073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A1"/>
    <w:multiLevelType w:val="hybridMultilevel"/>
    <w:tmpl w:val="D764D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C56E9"/>
    <w:multiLevelType w:val="multilevel"/>
    <w:tmpl w:val="0C3CBD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755A8"/>
    <w:multiLevelType w:val="hybridMultilevel"/>
    <w:tmpl w:val="9FA62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0228"/>
    <w:multiLevelType w:val="multilevel"/>
    <w:tmpl w:val="EF82D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F4D91"/>
    <w:multiLevelType w:val="multilevel"/>
    <w:tmpl w:val="2E0C04A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20674"/>
    <w:multiLevelType w:val="multilevel"/>
    <w:tmpl w:val="69986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517DD"/>
    <w:multiLevelType w:val="hybridMultilevel"/>
    <w:tmpl w:val="64FC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3B5F7C"/>
    <w:multiLevelType w:val="hybridMultilevel"/>
    <w:tmpl w:val="E4E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52C88"/>
    <w:multiLevelType w:val="multilevel"/>
    <w:tmpl w:val="0C3CBD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43F20"/>
    <w:multiLevelType w:val="hybridMultilevel"/>
    <w:tmpl w:val="CDF8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31CA1"/>
    <w:multiLevelType w:val="hybridMultilevel"/>
    <w:tmpl w:val="244C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3083"/>
    <w:multiLevelType w:val="multilevel"/>
    <w:tmpl w:val="842E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414AF"/>
    <w:multiLevelType w:val="hybridMultilevel"/>
    <w:tmpl w:val="6F6A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F65CC"/>
    <w:multiLevelType w:val="multilevel"/>
    <w:tmpl w:val="BF2A42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95B15"/>
    <w:multiLevelType w:val="multilevel"/>
    <w:tmpl w:val="D6E0D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36CA3"/>
    <w:multiLevelType w:val="hybridMultilevel"/>
    <w:tmpl w:val="D38A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30E96"/>
    <w:multiLevelType w:val="multilevel"/>
    <w:tmpl w:val="862C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92857"/>
    <w:multiLevelType w:val="hybridMultilevel"/>
    <w:tmpl w:val="7DEA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B323E"/>
    <w:multiLevelType w:val="multilevel"/>
    <w:tmpl w:val="7B32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7721C"/>
    <w:multiLevelType w:val="hybridMultilevel"/>
    <w:tmpl w:val="D0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7248F"/>
    <w:multiLevelType w:val="hybridMultilevel"/>
    <w:tmpl w:val="CEB6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81063"/>
    <w:multiLevelType w:val="multilevel"/>
    <w:tmpl w:val="B598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F0336"/>
    <w:multiLevelType w:val="hybridMultilevel"/>
    <w:tmpl w:val="D56E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06548"/>
    <w:multiLevelType w:val="hybridMultilevel"/>
    <w:tmpl w:val="7ED2C8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7F59DF"/>
    <w:multiLevelType w:val="multilevel"/>
    <w:tmpl w:val="358EF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64FD6"/>
    <w:multiLevelType w:val="hybridMultilevel"/>
    <w:tmpl w:val="27D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D6ED7"/>
    <w:multiLevelType w:val="hybridMultilevel"/>
    <w:tmpl w:val="D8AA7C3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617D4755"/>
    <w:multiLevelType w:val="hybridMultilevel"/>
    <w:tmpl w:val="BCDE0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3401C"/>
    <w:multiLevelType w:val="multilevel"/>
    <w:tmpl w:val="7792A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334F9B"/>
    <w:multiLevelType w:val="hybridMultilevel"/>
    <w:tmpl w:val="82687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E2884"/>
    <w:multiLevelType w:val="multilevel"/>
    <w:tmpl w:val="187A73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2309E"/>
    <w:multiLevelType w:val="hybridMultilevel"/>
    <w:tmpl w:val="D9484E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DDC728D"/>
    <w:multiLevelType w:val="multilevel"/>
    <w:tmpl w:val="A1BC12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60101"/>
    <w:multiLevelType w:val="hybridMultilevel"/>
    <w:tmpl w:val="4BE2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C6230"/>
    <w:multiLevelType w:val="hybridMultilevel"/>
    <w:tmpl w:val="50E6E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94333"/>
    <w:multiLevelType w:val="hybridMultilevel"/>
    <w:tmpl w:val="8B8C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C7E92"/>
    <w:multiLevelType w:val="multilevel"/>
    <w:tmpl w:val="955681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0F1A81"/>
    <w:multiLevelType w:val="multilevel"/>
    <w:tmpl w:val="0C3CBD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452F6"/>
    <w:multiLevelType w:val="hybridMultilevel"/>
    <w:tmpl w:val="DC1CCD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6"/>
  </w:num>
  <w:num w:numId="2">
    <w:abstractNumId w:val="25"/>
  </w:num>
  <w:num w:numId="3">
    <w:abstractNumId w:val="5"/>
  </w:num>
  <w:num w:numId="4">
    <w:abstractNumId w:val="34"/>
  </w:num>
  <w:num w:numId="5">
    <w:abstractNumId w:val="3"/>
  </w:num>
  <w:num w:numId="6">
    <w:abstractNumId w:val="30"/>
  </w:num>
  <w:num w:numId="7">
    <w:abstractNumId w:val="14"/>
  </w:num>
  <w:num w:numId="8">
    <w:abstractNumId w:val="4"/>
  </w:num>
  <w:num w:numId="9">
    <w:abstractNumId w:val="18"/>
  </w:num>
  <w:num w:numId="10">
    <w:abstractNumId w:val="11"/>
  </w:num>
  <w:num w:numId="11">
    <w:abstractNumId w:val="24"/>
  </w:num>
  <w:num w:numId="12">
    <w:abstractNumId w:val="6"/>
  </w:num>
  <w:num w:numId="13">
    <w:abstractNumId w:val="2"/>
  </w:num>
  <w:num w:numId="14">
    <w:abstractNumId w:val="31"/>
  </w:num>
  <w:num w:numId="15">
    <w:abstractNumId w:val="32"/>
  </w:num>
  <w:num w:numId="16">
    <w:abstractNumId w:val="39"/>
  </w:num>
  <w:num w:numId="17">
    <w:abstractNumId w:val="33"/>
  </w:num>
  <w:num w:numId="18">
    <w:abstractNumId w:val="38"/>
  </w:num>
  <w:num w:numId="19">
    <w:abstractNumId w:val="13"/>
  </w:num>
  <w:num w:numId="20">
    <w:abstractNumId w:val="36"/>
  </w:num>
  <w:num w:numId="21">
    <w:abstractNumId w:val="28"/>
  </w:num>
  <w:num w:numId="22">
    <w:abstractNumId w:val="1"/>
  </w:num>
  <w:num w:numId="23">
    <w:abstractNumId w:val="8"/>
  </w:num>
  <w:num w:numId="24">
    <w:abstractNumId w:val="9"/>
  </w:num>
  <w:num w:numId="25">
    <w:abstractNumId w:val="40"/>
  </w:num>
  <w:num w:numId="26">
    <w:abstractNumId w:val="37"/>
  </w:num>
  <w:num w:numId="27">
    <w:abstractNumId w:val="22"/>
  </w:num>
  <w:num w:numId="28">
    <w:abstractNumId w:val="0"/>
  </w:num>
  <w:num w:numId="29">
    <w:abstractNumId w:val="20"/>
  </w:num>
  <w:num w:numId="30">
    <w:abstractNumId w:val="12"/>
  </w:num>
  <w:num w:numId="31">
    <w:abstractNumId w:val="7"/>
  </w:num>
  <w:num w:numId="32">
    <w:abstractNumId w:val="19"/>
  </w:num>
  <w:num w:numId="33">
    <w:abstractNumId w:val="23"/>
  </w:num>
  <w:num w:numId="34">
    <w:abstractNumId w:val="29"/>
  </w:num>
  <w:num w:numId="35">
    <w:abstractNumId w:val="21"/>
  </w:num>
  <w:num w:numId="36">
    <w:abstractNumId w:val="27"/>
  </w:num>
  <w:num w:numId="37">
    <w:abstractNumId w:val="26"/>
  </w:num>
  <w:num w:numId="38">
    <w:abstractNumId w:val="17"/>
  </w:num>
  <w:num w:numId="39">
    <w:abstractNumId w:val="15"/>
  </w:num>
  <w:num w:numId="40">
    <w:abstractNumId w:val="3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46"/>
    <w:rsid w:val="000301E0"/>
    <w:rsid w:val="00033360"/>
    <w:rsid w:val="00035D7B"/>
    <w:rsid w:val="0003618B"/>
    <w:rsid w:val="00047B79"/>
    <w:rsid w:val="00050402"/>
    <w:rsid w:val="00053DCF"/>
    <w:rsid w:val="0007316D"/>
    <w:rsid w:val="000930A6"/>
    <w:rsid w:val="000B573D"/>
    <w:rsid w:val="000C7925"/>
    <w:rsid w:val="000D5731"/>
    <w:rsid w:val="00115FAB"/>
    <w:rsid w:val="00125D3A"/>
    <w:rsid w:val="0013705D"/>
    <w:rsid w:val="001773B2"/>
    <w:rsid w:val="00192C97"/>
    <w:rsid w:val="001A2357"/>
    <w:rsid w:val="001A5848"/>
    <w:rsid w:val="001A77BD"/>
    <w:rsid w:val="001D71D1"/>
    <w:rsid w:val="001E1BE4"/>
    <w:rsid w:val="001F05A8"/>
    <w:rsid w:val="0021080F"/>
    <w:rsid w:val="002211CE"/>
    <w:rsid w:val="002260FC"/>
    <w:rsid w:val="00245173"/>
    <w:rsid w:val="00262B2A"/>
    <w:rsid w:val="002675BD"/>
    <w:rsid w:val="0026761F"/>
    <w:rsid w:val="002745F1"/>
    <w:rsid w:val="00286B5D"/>
    <w:rsid w:val="002A1EE0"/>
    <w:rsid w:val="002B463F"/>
    <w:rsid w:val="002C258D"/>
    <w:rsid w:val="00313720"/>
    <w:rsid w:val="00323691"/>
    <w:rsid w:val="00325125"/>
    <w:rsid w:val="00325EA0"/>
    <w:rsid w:val="0032744A"/>
    <w:rsid w:val="00343EB8"/>
    <w:rsid w:val="00376396"/>
    <w:rsid w:val="00393161"/>
    <w:rsid w:val="00396D41"/>
    <w:rsid w:val="003A02D5"/>
    <w:rsid w:val="003A29EF"/>
    <w:rsid w:val="003B116F"/>
    <w:rsid w:val="003B5DE1"/>
    <w:rsid w:val="003C042A"/>
    <w:rsid w:val="003C0704"/>
    <w:rsid w:val="003E4131"/>
    <w:rsid w:val="003F2859"/>
    <w:rsid w:val="003F3786"/>
    <w:rsid w:val="003F52FA"/>
    <w:rsid w:val="00407C30"/>
    <w:rsid w:val="00443415"/>
    <w:rsid w:val="0045369F"/>
    <w:rsid w:val="004614C4"/>
    <w:rsid w:val="00472A03"/>
    <w:rsid w:val="00480B7E"/>
    <w:rsid w:val="004814FD"/>
    <w:rsid w:val="00497E22"/>
    <w:rsid w:val="004C77A4"/>
    <w:rsid w:val="005035FB"/>
    <w:rsid w:val="0051766E"/>
    <w:rsid w:val="005448C7"/>
    <w:rsid w:val="00553679"/>
    <w:rsid w:val="0057143F"/>
    <w:rsid w:val="00580FF9"/>
    <w:rsid w:val="00586B5B"/>
    <w:rsid w:val="005A0D67"/>
    <w:rsid w:val="005A6718"/>
    <w:rsid w:val="005B2725"/>
    <w:rsid w:val="005B755C"/>
    <w:rsid w:val="005C74CE"/>
    <w:rsid w:val="005D2C30"/>
    <w:rsid w:val="005E38F3"/>
    <w:rsid w:val="005F2CA0"/>
    <w:rsid w:val="005F758A"/>
    <w:rsid w:val="005F77E5"/>
    <w:rsid w:val="0061249D"/>
    <w:rsid w:val="00614C19"/>
    <w:rsid w:val="0062136E"/>
    <w:rsid w:val="006228F7"/>
    <w:rsid w:val="006244F7"/>
    <w:rsid w:val="00634B2C"/>
    <w:rsid w:val="00653E20"/>
    <w:rsid w:val="006630DB"/>
    <w:rsid w:val="006809EB"/>
    <w:rsid w:val="00692578"/>
    <w:rsid w:val="006B13CA"/>
    <w:rsid w:val="006C6F9C"/>
    <w:rsid w:val="006D4435"/>
    <w:rsid w:val="006F05AF"/>
    <w:rsid w:val="006F72FF"/>
    <w:rsid w:val="007164A8"/>
    <w:rsid w:val="00717BA0"/>
    <w:rsid w:val="00724668"/>
    <w:rsid w:val="00747D9E"/>
    <w:rsid w:val="00753F1D"/>
    <w:rsid w:val="00754951"/>
    <w:rsid w:val="00754C03"/>
    <w:rsid w:val="0076601C"/>
    <w:rsid w:val="0079086A"/>
    <w:rsid w:val="007A7826"/>
    <w:rsid w:val="007C39E8"/>
    <w:rsid w:val="007D0A5E"/>
    <w:rsid w:val="007F5FCB"/>
    <w:rsid w:val="00801F07"/>
    <w:rsid w:val="00810B76"/>
    <w:rsid w:val="00867FE9"/>
    <w:rsid w:val="00871721"/>
    <w:rsid w:val="008733DF"/>
    <w:rsid w:val="0088649A"/>
    <w:rsid w:val="008A02DC"/>
    <w:rsid w:val="008A089F"/>
    <w:rsid w:val="008B1844"/>
    <w:rsid w:val="008B6634"/>
    <w:rsid w:val="008D2175"/>
    <w:rsid w:val="008D3D7B"/>
    <w:rsid w:val="008D6098"/>
    <w:rsid w:val="008E4942"/>
    <w:rsid w:val="008F3583"/>
    <w:rsid w:val="008F6A07"/>
    <w:rsid w:val="009041F7"/>
    <w:rsid w:val="009134B7"/>
    <w:rsid w:val="00925729"/>
    <w:rsid w:val="009375D5"/>
    <w:rsid w:val="00947AC4"/>
    <w:rsid w:val="00952CAB"/>
    <w:rsid w:val="00957549"/>
    <w:rsid w:val="00957B8E"/>
    <w:rsid w:val="00961A74"/>
    <w:rsid w:val="00971697"/>
    <w:rsid w:val="00973B95"/>
    <w:rsid w:val="009763B4"/>
    <w:rsid w:val="00976AEB"/>
    <w:rsid w:val="00983544"/>
    <w:rsid w:val="00993146"/>
    <w:rsid w:val="009969A2"/>
    <w:rsid w:val="009E45AB"/>
    <w:rsid w:val="00A12286"/>
    <w:rsid w:val="00A154DC"/>
    <w:rsid w:val="00A16260"/>
    <w:rsid w:val="00A179E6"/>
    <w:rsid w:val="00A234EE"/>
    <w:rsid w:val="00A32B7E"/>
    <w:rsid w:val="00A520CC"/>
    <w:rsid w:val="00A60A91"/>
    <w:rsid w:val="00A7336D"/>
    <w:rsid w:val="00A877A1"/>
    <w:rsid w:val="00A95763"/>
    <w:rsid w:val="00AB0331"/>
    <w:rsid w:val="00AC19D4"/>
    <w:rsid w:val="00B0750B"/>
    <w:rsid w:val="00B4097F"/>
    <w:rsid w:val="00B42676"/>
    <w:rsid w:val="00B51D4C"/>
    <w:rsid w:val="00B56078"/>
    <w:rsid w:val="00B62B37"/>
    <w:rsid w:val="00B63102"/>
    <w:rsid w:val="00B67276"/>
    <w:rsid w:val="00B769EB"/>
    <w:rsid w:val="00B92434"/>
    <w:rsid w:val="00BC9685"/>
    <w:rsid w:val="00BE068E"/>
    <w:rsid w:val="00BF6F70"/>
    <w:rsid w:val="00BF7478"/>
    <w:rsid w:val="00C170BE"/>
    <w:rsid w:val="00C3230F"/>
    <w:rsid w:val="00C51AF7"/>
    <w:rsid w:val="00CD04F3"/>
    <w:rsid w:val="00CE14D2"/>
    <w:rsid w:val="00D00897"/>
    <w:rsid w:val="00D14DF3"/>
    <w:rsid w:val="00D14EE2"/>
    <w:rsid w:val="00D175F9"/>
    <w:rsid w:val="00D275DE"/>
    <w:rsid w:val="00D44396"/>
    <w:rsid w:val="00D4730D"/>
    <w:rsid w:val="00D51505"/>
    <w:rsid w:val="00D5152D"/>
    <w:rsid w:val="00D70196"/>
    <w:rsid w:val="00D9555E"/>
    <w:rsid w:val="00E12E64"/>
    <w:rsid w:val="00E23794"/>
    <w:rsid w:val="00E303CA"/>
    <w:rsid w:val="00E57771"/>
    <w:rsid w:val="00E75CFB"/>
    <w:rsid w:val="00E87788"/>
    <w:rsid w:val="00E97361"/>
    <w:rsid w:val="00EA5C78"/>
    <w:rsid w:val="00EC50B4"/>
    <w:rsid w:val="00EF0126"/>
    <w:rsid w:val="00F073A9"/>
    <w:rsid w:val="00F235EA"/>
    <w:rsid w:val="00F24163"/>
    <w:rsid w:val="00F27DBA"/>
    <w:rsid w:val="00F37AE9"/>
    <w:rsid w:val="00F66FF8"/>
    <w:rsid w:val="00F85B34"/>
    <w:rsid w:val="00F96427"/>
    <w:rsid w:val="00FA3C0B"/>
    <w:rsid w:val="00FA68C2"/>
    <w:rsid w:val="00FB2324"/>
    <w:rsid w:val="00FB257B"/>
    <w:rsid w:val="00FC0CDC"/>
    <w:rsid w:val="00FD397D"/>
    <w:rsid w:val="00FE0DA0"/>
    <w:rsid w:val="00FE467E"/>
    <w:rsid w:val="00FE4A76"/>
    <w:rsid w:val="00FF0772"/>
    <w:rsid w:val="01AE97C3"/>
    <w:rsid w:val="04DE791D"/>
    <w:rsid w:val="0E72825D"/>
    <w:rsid w:val="1906D83F"/>
    <w:rsid w:val="1CFA28F7"/>
    <w:rsid w:val="2568E4B8"/>
    <w:rsid w:val="25D28241"/>
    <w:rsid w:val="268083FC"/>
    <w:rsid w:val="268C6C96"/>
    <w:rsid w:val="383A65AD"/>
    <w:rsid w:val="49AA14D4"/>
    <w:rsid w:val="4A2BCBB9"/>
    <w:rsid w:val="52D20653"/>
    <w:rsid w:val="5EB5F168"/>
    <w:rsid w:val="5F05B966"/>
    <w:rsid w:val="6017759F"/>
    <w:rsid w:val="65736753"/>
    <w:rsid w:val="66D18983"/>
    <w:rsid w:val="6ADAF365"/>
    <w:rsid w:val="7646B2CE"/>
    <w:rsid w:val="767D4E10"/>
    <w:rsid w:val="76A09CE1"/>
    <w:rsid w:val="7D06524D"/>
    <w:rsid w:val="7E3C4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84D2F"/>
  <w15:chartTrackingRefBased/>
  <w15:docId w15:val="{0DAFDB99-CAB6-41D5-911C-5AB07047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1F05A8"/>
    <w:pPr>
      <w:spacing w:before="100" w:beforeAutospacing="1" w:after="100" w:afterAutospacing="1"/>
      <w:outlineLvl w:val="1"/>
    </w:pPr>
    <w:rPr>
      <w:b/>
      <w:bCs/>
      <w:sz w:val="36"/>
      <w:szCs w:val="36"/>
      <w:lang w:val="en-US" w:eastAsia="en-US"/>
    </w:rPr>
  </w:style>
  <w:style w:type="paragraph" w:styleId="Heading3">
    <w:name w:val="heading 3"/>
    <w:basedOn w:val="Normal"/>
    <w:qFormat/>
    <w:rsid w:val="001F05A8"/>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3146"/>
    <w:pPr>
      <w:spacing w:before="100" w:beforeAutospacing="1" w:after="100" w:afterAutospacing="1"/>
    </w:pPr>
    <w:rPr>
      <w:lang w:val="en-US" w:eastAsia="en-US"/>
    </w:rPr>
  </w:style>
  <w:style w:type="table" w:styleId="TableGrid">
    <w:name w:val="Table Grid"/>
    <w:basedOn w:val="TableNormal"/>
    <w:rsid w:val="00BF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39E8"/>
    <w:pPr>
      <w:tabs>
        <w:tab w:val="center" w:pos="4320"/>
        <w:tab w:val="right" w:pos="8640"/>
      </w:tabs>
    </w:pPr>
  </w:style>
  <w:style w:type="paragraph" w:styleId="Footer">
    <w:name w:val="footer"/>
    <w:basedOn w:val="Normal"/>
    <w:rsid w:val="007C39E8"/>
    <w:pPr>
      <w:tabs>
        <w:tab w:val="center" w:pos="4320"/>
        <w:tab w:val="right" w:pos="8640"/>
      </w:tabs>
    </w:pPr>
  </w:style>
  <w:style w:type="paragraph" w:styleId="BalloonText">
    <w:name w:val="Balloon Text"/>
    <w:basedOn w:val="Normal"/>
    <w:link w:val="BalloonTextChar"/>
    <w:rsid w:val="003F3786"/>
    <w:rPr>
      <w:rFonts w:ascii="Segoe UI" w:hAnsi="Segoe UI" w:cs="Segoe UI"/>
      <w:sz w:val="18"/>
      <w:szCs w:val="18"/>
    </w:rPr>
  </w:style>
  <w:style w:type="character" w:customStyle="1" w:styleId="BalloonTextChar">
    <w:name w:val="Balloon Text Char"/>
    <w:link w:val="BalloonText"/>
    <w:rsid w:val="003F3786"/>
    <w:rPr>
      <w:rFonts w:ascii="Segoe UI" w:hAnsi="Segoe UI" w:cs="Segoe UI"/>
      <w:sz w:val="18"/>
      <w:szCs w:val="18"/>
    </w:rPr>
  </w:style>
  <w:style w:type="paragraph" w:styleId="Revision">
    <w:name w:val="Revision"/>
    <w:hidden/>
    <w:uiPriority w:val="99"/>
    <w:semiHidden/>
    <w:rsid w:val="002C258D"/>
    <w:rPr>
      <w:sz w:val="24"/>
      <w:szCs w:val="24"/>
    </w:rPr>
  </w:style>
  <w:style w:type="paragraph" w:styleId="ListParagraph">
    <w:name w:val="List Paragraph"/>
    <w:basedOn w:val="Normal"/>
    <w:uiPriority w:val="34"/>
    <w:qFormat/>
    <w:rsid w:val="003E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5570">
      <w:bodyDiv w:val="1"/>
      <w:marLeft w:val="0"/>
      <w:marRight w:val="0"/>
      <w:marTop w:val="0"/>
      <w:marBottom w:val="0"/>
      <w:divBdr>
        <w:top w:val="none" w:sz="0" w:space="0" w:color="auto"/>
        <w:left w:val="none" w:sz="0" w:space="0" w:color="auto"/>
        <w:bottom w:val="none" w:sz="0" w:space="0" w:color="auto"/>
        <w:right w:val="none" w:sz="0" w:space="0" w:color="auto"/>
      </w:divBdr>
    </w:div>
    <w:div w:id="772822893">
      <w:bodyDiv w:val="1"/>
      <w:marLeft w:val="0"/>
      <w:marRight w:val="0"/>
      <w:marTop w:val="0"/>
      <w:marBottom w:val="0"/>
      <w:divBdr>
        <w:top w:val="none" w:sz="0" w:space="0" w:color="auto"/>
        <w:left w:val="none" w:sz="0" w:space="0" w:color="auto"/>
        <w:bottom w:val="none" w:sz="0" w:space="0" w:color="auto"/>
        <w:right w:val="none" w:sz="0" w:space="0" w:color="auto"/>
      </w:divBdr>
    </w:div>
    <w:div w:id="861675519">
      <w:bodyDiv w:val="1"/>
      <w:marLeft w:val="0"/>
      <w:marRight w:val="0"/>
      <w:marTop w:val="0"/>
      <w:marBottom w:val="0"/>
      <w:divBdr>
        <w:top w:val="none" w:sz="0" w:space="0" w:color="auto"/>
        <w:left w:val="none" w:sz="0" w:space="0" w:color="auto"/>
        <w:bottom w:val="none" w:sz="0" w:space="0" w:color="auto"/>
        <w:right w:val="none" w:sz="0" w:space="0" w:color="auto"/>
      </w:divBdr>
    </w:div>
    <w:div w:id="1348871217">
      <w:bodyDiv w:val="1"/>
      <w:marLeft w:val="0"/>
      <w:marRight w:val="0"/>
      <w:marTop w:val="0"/>
      <w:marBottom w:val="0"/>
      <w:divBdr>
        <w:top w:val="none" w:sz="0" w:space="0" w:color="auto"/>
        <w:left w:val="none" w:sz="0" w:space="0" w:color="auto"/>
        <w:bottom w:val="none" w:sz="0" w:space="0" w:color="auto"/>
        <w:right w:val="none" w:sz="0" w:space="0" w:color="auto"/>
      </w:divBdr>
      <w:divsChild>
        <w:div w:id="1472406993">
          <w:marLeft w:val="0"/>
          <w:marRight w:val="0"/>
          <w:marTop w:val="0"/>
          <w:marBottom w:val="0"/>
          <w:divBdr>
            <w:top w:val="none" w:sz="0" w:space="0" w:color="auto"/>
            <w:left w:val="none" w:sz="0" w:space="0" w:color="auto"/>
            <w:bottom w:val="none" w:sz="0" w:space="0" w:color="auto"/>
            <w:right w:val="none" w:sz="0" w:space="0" w:color="auto"/>
          </w:divBdr>
          <w:divsChild>
            <w:div w:id="270095044">
              <w:marLeft w:val="0"/>
              <w:marRight w:val="0"/>
              <w:marTop w:val="0"/>
              <w:marBottom w:val="0"/>
              <w:divBdr>
                <w:top w:val="none" w:sz="0" w:space="0" w:color="auto"/>
                <w:left w:val="none" w:sz="0" w:space="0" w:color="auto"/>
                <w:bottom w:val="none" w:sz="0" w:space="0" w:color="auto"/>
                <w:right w:val="none" w:sz="0" w:space="0" w:color="auto"/>
              </w:divBdr>
              <w:divsChild>
                <w:div w:id="986738042">
                  <w:marLeft w:val="0"/>
                  <w:marRight w:val="0"/>
                  <w:marTop w:val="0"/>
                  <w:marBottom w:val="0"/>
                  <w:divBdr>
                    <w:top w:val="none" w:sz="0" w:space="0" w:color="auto"/>
                    <w:left w:val="none" w:sz="0" w:space="0" w:color="auto"/>
                    <w:bottom w:val="none" w:sz="0" w:space="0" w:color="auto"/>
                    <w:right w:val="none" w:sz="0" w:space="0" w:color="auto"/>
                  </w:divBdr>
                  <w:divsChild>
                    <w:div w:id="17602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6D33B6829EA4CA65867A95B6FBB84" ma:contentTypeVersion="18" ma:contentTypeDescription="Create a new document." ma:contentTypeScope="" ma:versionID="8484b6b3b936b769f903bd8b7630b819">
  <xsd:schema xmlns:xsd="http://www.w3.org/2001/XMLSchema" xmlns:xs="http://www.w3.org/2001/XMLSchema" xmlns:p="http://schemas.microsoft.com/office/2006/metadata/properties" xmlns:ns2="c63d1318-0730-44d2-a1c2-2da9e854c67d" xmlns:ns3="3f46a5f5-69e9-40e5-8fb3-307f2835d39d" xmlns:ns4="f938f0dd-a4b1-42d0-9b04-7c9c7f1ee379" targetNamespace="http://schemas.microsoft.com/office/2006/metadata/properties" ma:root="true" ma:fieldsID="8fc879090ef7eef573315b84728cf766" ns2:_="" ns3:_="" ns4:_="">
    <xsd:import namespace="c63d1318-0730-44d2-a1c2-2da9e854c67d"/>
    <xsd:import namespace="3f46a5f5-69e9-40e5-8fb3-307f2835d39d"/>
    <xsd:import namespace="f938f0dd-a4b1-42d0-9b04-7c9c7f1ee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d1318-0730-44d2-a1c2-2da9e854c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8f9c4c-c210-4b21-a005-823610b88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6a5f5-69e9-40e5-8fb3-307f2835d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8f0dd-a4b1-42d0-9b04-7c9c7f1ee3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b172cde-40a4-4a23-8afc-cac3cf262bcd}" ma:internalName="TaxCatchAll" ma:showField="CatchAllData" ma:web="f938f0dd-a4b1-42d0-9b04-7c9c7f1e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3d1318-0730-44d2-a1c2-2da9e854c67d">
      <Terms xmlns="http://schemas.microsoft.com/office/infopath/2007/PartnerControls"/>
    </lcf76f155ced4ddcb4097134ff3c332f>
    <TaxCatchAll xmlns="f938f0dd-a4b1-42d0-9b04-7c9c7f1ee3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0B62-B76A-49FB-9213-941958E2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d1318-0730-44d2-a1c2-2da9e854c67d"/>
    <ds:schemaRef ds:uri="3f46a5f5-69e9-40e5-8fb3-307f2835d39d"/>
    <ds:schemaRef ds:uri="f938f0dd-a4b1-42d0-9b04-7c9c7f1e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1CA05-2368-42A4-9689-F574D68D9D27}">
  <ds:schemaRefs>
    <ds:schemaRef ds:uri="http://www.w3.org/XML/1998/namespace"/>
    <ds:schemaRef ds:uri="http://purl.org/dc/terms/"/>
    <ds:schemaRef ds:uri="f938f0dd-a4b1-42d0-9b04-7c9c7f1ee379"/>
    <ds:schemaRef ds:uri="http://schemas.microsoft.com/office/2006/metadata/properties"/>
    <ds:schemaRef ds:uri="3f46a5f5-69e9-40e5-8fb3-307f2835d39d"/>
    <ds:schemaRef ds:uri="http://schemas.microsoft.com/office/2006/documentManagement/types"/>
    <ds:schemaRef ds:uri="http://schemas.microsoft.com/office/infopath/2007/PartnerControls"/>
    <ds:schemaRef ds:uri="http://schemas.openxmlformats.org/package/2006/metadata/core-properties"/>
    <ds:schemaRef ds:uri="c63d1318-0730-44d2-a1c2-2da9e854c67d"/>
    <ds:schemaRef ds:uri="http://purl.org/dc/dcmitype/"/>
    <ds:schemaRef ds:uri="http://purl.org/dc/elements/1.1/"/>
  </ds:schemaRefs>
</ds:datastoreItem>
</file>

<file path=customXml/itemProps3.xml><?xml version="1.0" encoding="utf-8"?>
<ds:datastoreItem xmlns:ds="http://schemas.openxmlformats.org/officeDocument/2006/customXml" ds:itemID="{17C1A847-55B1-4B45-A9C2-A40542713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dixp</dc:creator>
  <cp:keywords/>
  <dc:description/>
  <cp:lastModifiedBy>Aimee Walsh</cp:lastModifiedBy>
  <cp:revision>2</cp:revision>
  <cp:lastPrinted>2019-09-06T11:35:00Z</cp:lastPrinted>
  <dcterms:created xsi:type="dcterms:W3CDTF">2023-12-22T10:52:00Z</dcterms:created>
  <dcterms:modified xsi:type="dcterms:W3CDTF">2023-12-22T10:52:00Z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0x010100AA76D33B6829EA4CA65867A95B6FBB84</vt:lpwstr>
  </property>
  <property fmtid="{D5CDD505-2E9C-101B-9397-08002B2CF9AE}" pid="3" name="Order">
    <vt:r8>38800</vt:r8>
  </property>
  <property fmtid="{D5CDD505-2E9C-101B-9397-08002B2CF9AE}" pid="4" name="_ExtendedDescription">
    <vt:lpwstr/>
  </property>
  <property fmtid="{D5CDD505-2E9C-101B-9397-08002B2CF9AE}" pid="5" name="ComplianceAssetId">
    <vt:lpwstr/>
  </property>
</Properties>
</file>