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2B13" w14:textId="0F9A3FD7" w:rsidR="1B42BA88" w:rsidRPr="00F0381A" w:rsidRDefault="1B42BA88" w:rsidP="1B42BA88">
      <w:pPr>
        <w:rPr>
          <w:rFonts w:ascii="Open Sans" w:hAnsi="Open Sans" w:cs="Open Sans"/>
          <w:b/>
          <w:bCs/>
          <w:color w:val="FFFFFF" w:themeColor="background1"/>
        </w:rPr>
      </w:pPr>
    </w:p>
    <w:p w14:paraId="423BE4BC" w14:textId="0B8A63B3" w:rsidR="1B42BA88" w:rsidRPr="00F0381A" w:rsidRDefault="1B42BA88" w:rsidP="1B42BA88"/>
    <w:tbl>
      <w:tblPr>
        <w:tblpPr w:leftFromText="180" w:rightFromText="180" w:vertAnchor="text" w:tblpX="2615" w:tblpY="1"/>
        <w:tblW w:w="6951" w:type="dxa"/>
        <w:tblBorders>
          <w:top w:val="single" w:sz="4" w:space="0" w:color="004B88"/>
          <w:left w:val="single" w:sz="4" w:space="0" w:color="004B88"/>
          <w:bottom w:val="single" w:sz="4" w:space="0" w:color="004B88"/>
          <w:right w:val="single" w:sz="4" w:space="0" w:color="004B88"/>
          <w:insideH w:val="single" w:sz="4" w:space="0" w:color="004B88"/>
          <w:insideV w:val="single" w:sz="4" w:space="0" w:color="004B88"/>
        </w:tblBorders>
        <w:shd w:val="clear" w:color="auto" w:fill="004B88"/>
        <w:tblLook w:val="0000" w:firstRow="0" w:lastRow="0" w:firstColumn="0" w:lastColumn="0" w:noHBand="0" w:noVBand="0"/>
      </w:tblPr>
      <w:tblGrid>
        <w:gridCol w:w="6951"/>
      </w:tblGrid>
      <w:tr w:rsidR="00AC19D4" w:rsidRPr="00F0381A" w14:paraId="11B64E70" w14:textId="77777777" w:rsidTr="003B4575">
        <w:trPr>
          <w:trHeight w:val="1080"/>
        </w:trPr>
        <w:tc>
          <w:tcPr>
            <w:tcW w:w="6951" w:type="dxa"/>
            <w:shd w:val="clear" w:color="auto" w:fill="004B88"/>
            <w:vAlign w:val="center"/>
          </w:tcPr>
          <w:p w14:paraId="1396E8F8" w14:textId="1275941A" w:rsidR="0026761F" w:rsidRPr="00F0381A" w:rsidRDefault="000E120D" w:rsidP="003B4575">
            <w:pPr>
              <w:pStyle w:val="NormalWeb"/>
              <w:spacing w:before="0" w:beforeAutospacing="0" w:after="0" w:afterAutospacing="0"/>
              <w:ind w:left="540"/>
              <w:rPr>
                <w:rFonts w:ascii="Open Sans" w:hAnsi="Open Sans" w:cs="Open Sans"/>
                <w:b/>
                <w:bCs/>
                <w:color w:val="FFFFFF"/>
                <w:lang w:val="en-GB"/>
              </w:rPr>
            </w:pPr>
            <w:r w:rsidRPr="00F0381A">
              <w:rPr>
                <w:rFonts w:ascii="Open Sans" w:hAnsi="Open Sans" w:cs="Open Sans"/>
                <w:b/>
                <w:bCs/>
                <w:color w:val="FFFFFF" w:themeColor="background1"/>
                <w:lang w:val="en-GB"/>
              </w:rPr>
              <w:t>Data, Impact and Insights Team Leader</w:t>
            </w:r>
          </w:p>
          <w:p w14:paraId="7FDB3FF5" w14:textId="3AA5361A" w:rsidR="002A1EE0" w:rsidRPr="00F0381A" w:rsidRDefault="002A1EE0" w:rsidP="003B4575">
            <w:pPr>
              <w:pStyle w:val="NormalWeb"/>
              <w:spacing w:before="0" w:beforeAutospacing="0" w:after="0" w:afterAutospacing="0"/>
              <w:ind w:left="540"/>
              <w:rPr>
                <w:rFonts w:ascii="Open Sans" w:hAnsi="Open Sans" w:cs="Open Sans"/>
                <w:b/>
                <w:bCs/>
                <w:color w:val="FFFFFF"/>
                <w:lang w:val="en-GB"/>
              </w:rPr>
            </w:pPr>
            <w:r w:rsidRPr="00F0381A">
              <w:rPr>
                <w:rFonts w:ascii="Open Sans" w:hAnsi="Open Sans" w:cs="Open Sans"/>
                <w:b/>
                <w:bCs/>
                <w:color w:val="FFFFFF" w:themeColor="background1"/>
                <w:lang w:val="en-GB"/>
              </w:rPr>
              <w:t>Job description &amp; Person Specification</w:t>
            </w:r>
          </w:p>
        </w:tc>
      </w:tr>
    </w:tbl>
    <w:p w14:paraId="457099E3" w14:textId="4DC2607E" w:rsidR="003B4575" w:rsidRPr="00F0381A" w:rsidRDefault="003B4575" w:rsidP="1B42BA88">
      <w:pPr>
        <w:pStyle w:val="NormalWeb"/>
        <w:rPr>
          <w:rFonts w:ascii="Open Sans" w:hAnsi="Open Sans" w:cs="Open Sans"/>
          <w:b/>
          <w:bCs/>
          <w:color w:val="004B88"/>
          <w:lang w:val="en-GB"/>
        </w:rPr>
      </w:pPr>
      <w:r w:rsidRPr="00F0381A">
        <w:rPr>
          <w:rFonts w:ascii="Calibri" w:hAnsi="Calibri"/>
          <w:b/>
          <w:bCs/>
          <w:noProof/>
          <w:lang w:val="en-GB" w:eastAsia="en-GB"/>
        </w:rPr>
        <w:drawing>
          <wp:inline distT="0" distB="0" distL="0" distR="0" wp14:anchorId="36B373EC" wp14:editId="2BF6C9BF">
            <wp:extent cx="1541709" cy="581025"/>
            <wp:effectExtent l="0" t="0" r="190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3783" cy="589344"/>
                    </a:xfrm>
                    <a:prstGeom prst="rect">
                      <a:avLst/>
                    </a:prstGeom>
                    <a:noFill/>
                    <a:ln>
                      <a:noFill/>
                    </a:ln>
                  </pic:spPr>
                </pic:pic>
              </a:graphicData>
            </a:graphic>
          </wp:inline>
        </w:drawing>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C19D4" w:rsidRPr="00F0381A" w14:paraId="05971D9A" w14:textId="77777777" w:rsidTr="79C731AC">
        <w:tc>
          <w:tcPr>
            <w:tcW w:w="9628" w:type="dxa"/>
            <w:tcBorders>
              <w:top w:val="single" w:sz="4" w:space="0" w:color="004B88"/>
              <w:left w:val="single" w:sz="4" w:space="0" w:color="004B88"/>
              <w:bottom w:val="single" w:sz="4" w:space="0" w:color="004B88"/>
              <w:right w:val="single" w:sz="4" w:space="0" w:color="004B88"/>
            </w:tcBorders>
            <w:shd w:val="clear" w:color="auto" w:fill="004B88"/>
            <w:vAlign w:val="center"/>
          </w:tcPr>
          <w:p w14:paraId="45388CF0" w14:textId="7CDA206D" w:rsidR="00957549" w:rsidRPr="00F0381A" w:rsidRDefault="00FD397D" w:rsidP="00747D9E">
            <w:pPr>
              <w:pStyle w:val="NormalWeb"/>
              <w:spacing w:before="0" w:beforeAutospacing="0" w:after="0" w:afterAutospacing="0"/>
              <w:rPr>
                <w:rFonts w:ascii="Open Sans" w:hAnsi="Open Sans" w:cs="Open Sans"/>
                <w:bCs/>
                <w:color w:val="FFFFFF"/>
                <w:lang w:val="en-GB"/>
              </w:rPr>
            </w:pPr>
            <w:r w:rsidRPr="00F0381A">
              <w:rPr>
                <w:rFonts w:ascii="Open Sans" w:hAnsi="Open Sans" w:cs="Open Sans"/>
                <w:b/>
                <w:bCs/>
                <w:color w:val="FFFFFF"/>
                <w:lang w:val="en-GB"/>
              </w:rPr>
              <w:t>Reporting</w:t>
            </w:r>
            <w:r w:rsidR="00BF7478" w:rsidRPr="00F0381A">
              <w:rPr>
                <w:rFonts w:ascii="Open Sans" w:hAnsi="Open Sans" w:cs="Open Sans"/>
                <w:b/>
                <w:bCs/>
                <w:color w:val="FFFFFF"/>
                <w:lang w:val="en-GB"/>
              </w:rPr>
              <w:t xml:space="preserve"> to:</w:t>
            </w:r>
            <w:r w:rsidR="00BF7478" w:rsidRPr="00F0381A">
              <w:rPr>
                <w:rFonts w:ascii="Open Sans" w:hAnsi="Open Sans" w:cs="Open Sans"/>
                <w:bCs/>
                <w:color w:val="FFFFFF"/>
                <w:lang w:val="en-GB"/>
              </w:rPr>
              <w:t xml:space="preserve"> </w:t>
            </w:r>
            <w:r w:rsidR="0045369F" w:rsidRPr="00F0381A">
              <w:rPr>
                <w:rFonts w:ascii="Open Sans" w:hAnsi="Open Sans" w:cs="Open Sans"/>
                <w:bCs/>
                <w:color w:val="FFFFFF"/>
                <w:lang w:val="en-GB"/>
              </w:rPr>
              <w:t xml:space="preserve"> </w:t>
            </w:r>
            <w:r w:rsidR="000E120D" w:rsidRPr="00F0381A">
              <w:rPr>
                <w:rFonts w:ascii="Open Sans" w:hAnsi="Open Sans" w:cs="Open Sans"/>
                <w:bCs/>
                <w:color w:val="FFFFFF"/>
                <w:lang w:val="en-GB"/>
              </w:rPr>
              <w:t>Chief Officer / Deputy Chief Officer</w:t>
            </w:r>
          </w:p>
          <w:p w14:paraId="6A05A809" w14:textId="77777777" w:rsidR="00747D9E" w:rsidRPr="00F0381A" w:rsidRDefault="00747D9E" w:rsidP="00747D9E">
            <w:pPr>
              <w:pStyle w:val="NormalWeb"/>
              <w:spacing w:before="0" w:beforeAutospacing="0" w:after="0" w:afterAutospacing="0"/>
              <w:rPr>
                <w:rFonts w:ascii="Open Sans" w:hAnsi="Open Sans" w:cs="Open Sans"/>
                <w:bCs/>
                <w:color w:val="FFFFFF"/>
                <w:lang w:val="en-GB"/>
              </w:rPr>
            </w:pPr>
          </w:p>
        </w:tc>
      </w:tr>
      <w:tr w:rsidR="00AC19D4" w:rsidRPr="00F0381A" w14:paraId="72CEB284" w14:textId="77777777" w:rsidTr="79C731AC">
        <w:trPr>
          <w:trHeight w:val="1445"/>
        </w:trPr>
        <w:tc>
          <w:tcPr>
            <w:tcW w:w="9628" w:type="dxa"/>
            <w:tcBorders>
              <w:top w:val="single" w:sz="4" w:space="0" w:color="004B88"/>
              <w:left w:val="single" w:sz="4" w:space="0" w:color="004B88"/>
              <w:bottom w:val="single" w:sz="4" w:space="0" w:color="004B88"/>
              <w:right w:val="single" w:sz="4" w:space="0" w:color="004B88"/>
            </w:tcBorders>
            <w:shd w:val="clear" w:color="auto" w:fill="004B88"/>
          </w:tcPr>
          <w:p w14:paraId="15533B1A" w14:textId="146CA140" w:rsidR="006F05AF" w:rsidRPr="00F0381A" w:rsidRDefault="00E87788" w:rsidP="008733DF">
            <w:pPr>
              <w:pStyle w:val="NormalWeb"/>
              <w:rPr>
                <w:rFonts w:ascii="Open Sans" w:hAnsi="Open Sans" w:cs="Open Sans"/>
                <w:bCs/>
                <w:color w:val="FFFFFF"/>
                <w:lang w:val="en-GB"/>
              </w:rPr>
            </w:pPr>
            <w:r w:rsidRPr="00F0381A">
              <w:rPr>
                <w:rFonts w:ascii="Open Sans" w:hAnsi="Open Sans" w:cs="Open Sans"/>
                <w:b/>
                <w:bCs/>
                <w:color w:val="FFFFFF"/>
                <w:lang w:val="en-GB"/>
              </w:rPr>
              <w:t xml:space="preserve">Purpose of role: </w:t>
            </w:r>
            <w:r w:rsidR="003B4575" w:rsidRPr="00F0381A">
              <w:rPr>
                <w:rFonts w:ascii="Open Sans" w:hAnsi="Open Sans" w:cs="Open Sans"/>
                <w:bCs/>
                <w:color w:val="FFFFFF"/>
                <w:lang w:val="en-GB"/>
              </w:rPr>
              <w:t xml:space="preserve">To </w:t>
            </w:r>
            <w:r w:rsidR="000E120D" w:rsidRPr="00F0381A">
              <w:rPr>
                <w:rFonts w:ascii="Open Sans" w:hAnsi="Open Sans" w:cs="Open Sans"/>
                <w:bCs/>
                <w:color w:val="FFFFFF"/>
                <w:lang w:val="en-GB"/>
              </w:rPr>
              <w:t xml:space="preserve">lead a </w:t>
            </w:r>
            <w:r w:rsidR="00C44561" w:rsidRPr="00F0381A">
              <w:rPr>
                <w:rFonts w:ascii="Open Sans" w:hAnsi="Open Sans" w:cs="Open Sans"/>
                <w:bCs/>
                <w:color w:val="FFFFFF"/>
                <w:lang w:val="en-GB"/>
              </w:rPr>
              <w:t xml:space="preserve">multifaceted </w:t>
            </w:r>
            <w:r w:rsidR="000E120D" w:rsidRPr="00F0381A">
              <w:rPr>
                <w:rFonts w:ascii="Open Sans" w:hAnsi="Open Sans" w:cs="Open Sans"/>
                <w:bCs/>
                <w:color w:val="FFFFFF"/>
                <w:lang w:val="en-GB"/>
              </w:rPr>
              <w:t xml:space="preserve">team responsible for data </w:t>
            </w:r>
            <w:r w:rsidR="00C44561" w:rsidRPr="00F0381A">
              <w:rPr>
                <w:rFonts w:ascii="Open Sans" w:hAnsi="Open Sans" w:cs="Open Sans"/>
                <w:bCs/>
                <w:color w:val="FFFFFF"/>
                <w:lang w:val="en-GB"/>
              </w:rPr>
              <w:t xml:space="preserve">collection and </w:t>
            </w:r>
            <w:r w:rsidR="000E120D" w:rsidRPr="00F0381A">
              <w:rPr>
                <w:rFonts w:ascii="Open Sans" w:hAnsi="Open Sans" w:cs="Open Sans"/>
                <w:bCs/>
                <w:color w:val="FFFFFF"/>
                <w:lang w:val="en-GB"/>
              </w:rPr>
              <w:t xml:space="preserve">analysis, research and campaigns, </w:t>
            </w:r>
            <w:r w:rsidR="00C44561" w:rsidRPr="00F0381A">
              <w:rPr>
                <w:rFonts w:ascii="Open Sans" w:hAnsi="Open Sans" w:cs="Open Sans"/>
                <w:bCs/>
                <w:color w:val="FFFFFF"/>
                <w:lang w:val="en-GB"/>
              </w:rPr>
              <w:t>equity</w:t>
            </w:r>
            <w:r w:rsidR="000E120D" w:rsidRPr="00F0381A">
              <w:rPr>
                <w:rFonts w:ascii="Open Sans" w:hAnsi="Open Sans" w:cs="Open Sans"/>
                <w:bCs/>
                <w:color w:val="FFFFFF"/>
                <w:lang w:val="en-GB"/>
              </w:rPr>
              <w:t>,</w:t>
            </w:r>
            <w:r w:rsidR="00C44561" w:rsidRPr="00F0381A">
              <w:rPr>
                <w:rFonts w:ascii="Open Sans" w:hAnsi="Open Sans" w:cs="Open Sans"/>
                <w:bCs/>
                <w:color w:val="FFFFFF"/>
                <w:lang w:val="en-GB"/>
              </w:rPr>
              <w:t xml:space="preserve"> diversity and inclusion, media and communications and stakeholder engagement.  Your leadership and vision will support the organisation to use our wealth of data to raise awareness of critical issues through our EDI and Research &amp; Campaigns work, engage with key stakeholders to influence decision making and build on our Communication Strategy to reach and support more clients.  </w:t>
            </w:r>
          </w:p>
          <w:p w14:paraId="1A14B0F2" w14:textId="77777777" w:rsidR="00E87788" w:rsidRPr="00F0381A" w:rsidRDefault="00E57771" w:rsidP="00E87788">
            <w:pPr>
              <w:pStyle w:val="NormalWeb"/>
              <w:rPr>
                <w:rFonts w:ascii="Open Sans" w:hAnsi="Open Sans" w:cs="Open Sans"/>
                <w:bCs/>
                <w:color w:val="FFFFFF"/>
                <w:lang w:val="en-GB"/>
              </w:rPr>
            </w:pPr>
            <w:r w:rsidRPr="00F0381A">
              <w:rPr>
                <w:rFonts w:ascii="Open Sans" w:hAnsi="Open Sans" w:cs="Open Sans"/>
                <w:b/>
                <w:bCs/>
                <w:color w:val="FFFFFF"/>
                <w:lang w:val="en-GB"/>
              </w:rPr>
              <w:t>About Citizens Advice North Somerset</w:t>
            </w:r>
            <w:r w:rsidRPr="00F0381A">
              <w:rPr>
                <w:rFonts w:ascii="Open Sans" w:hAnsi="Open Sans" w:cs="Open Sans"/>
                <w:bCs/>
                <w:color w:val="FFFFFF"/>
                <w:lang w:val="en-GB"/>
              </w:rPr>
              <w:t>: We provide</w:t>
            </w:r>
            <w:r w:rsidR="00E87788" w:rsidRPr="00F0381A">
              <w:rPr>
                <w:rFonts w:ascii="Open Sans" w:hAnsi="Open Sans" w:cs="Open Sans"/>
                <w:bCs/>
                <w:color w:val="FFFFFF"/>
                <w:lang w:val="en-GB"/>
              </w:rPr>
              <w:t xml:space="preserve"> a range of advice services through digital means, by telephone and in person.  We seek to empower our clients and support them to improve their confidence and capability on a wide range of issues.  </w:t>
            </w:r>
          </w:p>
          <w:p w14:paraId="4E4A34D7" w14:textId="1AD25B77" w:rsidR="00D5152D" w:rsidRPr="00F0381A" w:rsidRDefault="00E87788" w:rsidP="00E87788">
            <w:pPr>
              <w:pStyle w:val="NormalWeb"/>
              <w:rPr>
                <w:rFonts w:ascii="Open Sans" w:hAnsi="Open Sans" w:cs="Open Sans"/>
                <w:bCs/>
                <w:color w:val="FFFFFF"/>
                <w:lang w:val="en-GB"/>
              </w:rPr>
            </w:pPr>
            <w:r w:rsidRPr="00F0381A">
              <w:rPr>
                <w:rFonts w:ascii="Open Sans" w:hAnsi="Open Sans" w:cs="Open Sans"/>
                <w:bCs/>
                <w:color w:val="FFFFFF"/>
                <w:lang w:val="en-GB"/>
              </w:rPr>
              <w:t xml:space="preserve">We aim to improve the </w:t>
            </w:r>
            <w:r w:rsidR="003A48DB" w:rsidRPr="00F0381A">
              <w:rPr>
                <w:rFonts w:ascii="Open Sans" w:hAnsi="Open Sans" w:cs="Open Sans"/>
                <w:bCs/>
                <w:color w:val="FFFFFF"/>
                <w:lang w:val="en-GB"/>
              </w:rPr>
              <w:t xml:space="preserve">wellbeing </w:t>
            </w:r>
            <w:r w:rsidRPr="00F0381A">
              <w:rPr>
                <w:rFonts w:ascii="Open Sans" w:hAnsi="Open Sans" w:cs="Open Sans"/>
                <w:bCs/>
                <w:color w:val="FFFFFF"/>
                <w:lang w:val="en-GB"/>
              </w:rPr>
              <w:t xml:space="preserve">and </w:t>
            </w:r>
            <w:r w:rsidR="003A48DB" w:rsidRPr="00F0381A">
              <w:rPr>
                <w:rFonts w:ascii="Open Sans" w:hAnsi="Open Sans" w:cs="Open Sans"/>
                <w:bCs/>
                <w:color w:val="FFFFFF"/>
                <w:lang w:val="en-GB"/>
              </w:rPr>
              <w:t xml:space="preserve">health </w:t>
            </w:r>
            <w:r w:rsidRPr="00F0381A">
              <w:rPr>
                <w:rFonts w:ascii="Open Sans" w:hAnsi="Open Sans" w:cs="Open Sans"/>
                <w:bCs/>
                <w:color w:val="FFFFFF"/>
                <w:lang w:val="en-GB"/>
              </w:rPr>
              <w:t>of everyone living or working in North Somerset who needs our help and support, by providing accessible, effective and tailored information and a</w:t>
            </w:r>
            <w:r w:rsidR="00D5152D" w:rsidRPr="00F0381A">
              <w:rPr>
                <w:rFonts w:ascii="Open Sans" w:hAnsi="Open Sans" w:cs="Open Sans"/>
                <w:bCs/>
                <w:color w:val="FFFFFF"/>
                <w:lang w:val="en-GB"/>
              </w:rPr>
              <w:t xml:space="preserve">dvice that is free, independent, confidential and impartial. </w:t>
            </w:r>
          </w:p>
          <w:p w14:paraId="0122F028" w14:textId="77777777" w:rsidR="00D5152D" w:rsidRPr="00F0381A" w:rsidRDefault="00D5152D" w:rsidP="008733DF">
            <w:pPr>
              <w:pStyle w:val="NormalWeb"/>
              <w:rPr>
                <w:rFonts w:ascii="Open Sans" w:hAnsi="Open Sans" w:cs="Open Sans"/>
                <w:bCs/>
                <w:color w:val="FFFFFF"/>
                <w:lang w:val="en-GB"/>
              </w:rPr>
            </w:pPr>
            <w:r w:rsidRPr="00F0381A">
              <w:rPr>
                <w:rFonts w:ascii="Open Sans" w:hAnsi="Open Sans" w:cs="Open Sans"/>
                <w:bCs/>
                <w:color w:val="FFFFFF"/>
                <w:lang w:val="en-GB"/>
              </w:rPr>
              <w:t>We believe that our common humanity makes us equal in worth, dignity and rights.  We value diversity, promote equality and challenge discrimination.</w:t>
            </w:r>
          </w:p>
          <w:p w14:paraId="5A39BBE3" w14:textId="77777777" w:rsidR="008733DF" w:rsidRPr="00F0381A" w:rsidRDefault="008733DF" w:rsidP="008733DF">
            <w:pPr>
              <w:pStyle w:val="NormalWeb"/>
              <w:rPr>
                <w:rFonts w:ascii="Open Sans" w:hAnsi="Open Sans" w:cs="Open Sans"/>
                <w:bCs/>
                <w:color w:val="FFFFFF"/>
                <w:lang w:val="en-GB"/>
              </w:rPr>
            </w:pPr>
          </w:p>
        </w:tc>
      </w:tr>
      <w:tr w:rsidR="003E4131" w:rsidRPr="00F0381A" w14:paraId="41C8F396" w14:textId="77777777" w:rsidTr="79C731AC">
        <w:trPr>
          <w:trHeight w:val="352"/>
        </w:trPr>
        <w:tc>
          <w:tcPr>
            <w:tcW w:w="9628" w:type="dxa"/>
            <w:tcBorders>
              <w:top w:val="single" w:sz="4" w:space="0" w:color="004B88"/>
              <w:left w:val="nil"/>
              <w:bottom w:val="single" w:sz="4" w:space="0" w:color="004B88"/>
              <w:right w:val="nil"/>
            </w:tcBorders>
            <w:shd w:val="clear" w:color="auto" w:fill="auto"/>
          </w:tcPr>
          <w:p w14:paraId="72A3D3EC" w14:textId="77777777" w:rsidR="003E4131" w:rsidRPr="00F0381A" w:rsidRDefault="003E4131" w:rsidP="00FC0CDC">
            <w:pPr>
              <w:pStyle w:val="NormalWeb"/>
              <w:spacing w:before="0" w:beforeAutospacing="0" w:after="0" w:afterAutospacing="0"/>
              <w:rPr>
                <w:rFonts w:ascii="Open Sans" w:hAnsi="Open Sans" w:cs="Open Sans"/>
                <w:b/>
                <w:bCs/>
                <w:color w:val="004B88"/>
                <w:lang w:val="en-GB"/>
              </w:rPr>
            </w:pPr>
          </w:p>
        </w:tc>
      </w:tr>
      <w:tr w:rsidR="003E4131" w:rsidRPr="00F0381A" w14:paraId="159894E1" w14:textId="77777777" w:rsidTr="79C731AC">
        <w:trPr>
          <w:trHeight w:val="352"/>
        </w:trPr>
        <w:tc>
          <w:tcPr>
            <w:tcW w:w="9628" w:type="dxa"/>
            <w:tcBorders>
              <w:top w:val="single" w:sz="4" w:space="0" w:color="004B88"/>
              <w:left w:val="single" w:sz="4" w:space="0" w:color="004B88"/>
              <w:bottom w:val="single" w:sz="4" w:space="0" w:color="004B88"/>
              <w:right w:val="single" w:sz="4" w:space="0" w:color="004B88"/>
            </w:tcBorders>
            <w:shd w:val="clear" w:color="auto" w:fill="004B88"/>
          </w:tcPr>
          <w:p w14:paraId="1FE1F44A" w14:textId="77777777" w:rsidR="00EC50B4" w:rsidRPr="00F0381A" w:rsidRDefault="00753F1D" w:rsidP="00FC0CDC">
            <w:pPr>
              <w:pStyle w:val="NormalWeb"/>
              <w:spacing w:before="0" w:beforeAutospacing="0" w:after="0" w:afterAutospacing="0"/>
              <w:rPr>
                <w:rFonts w:ascii="Open Sans" w:hAnsi="Open Sans" w:cs="Open Sans"/>
                <w:b/>
                <w:bCs/>
                <w:color w:val="FFFFFF" w:themeColor="background1"/>
                <w:lang w:val="en-GB"/>
              </w:rPr>
            </w:pPr>
            <w:r w:rsidRPr="00F0381A">
              <w:rPr>
                <w:rFonts w:ascii="Open Sans" w:hAnsi="Open Sans" w:cs="Open Sans"/>
                <w:b/>
                <w:bCs/>
                <w:color w:val="FFFFFF" w:themeColor="background1"/>
                <w:lang w:val="en-GB"/>
              </w:rPr>
              <w:t>Main duties and Responsibilities</w:t>
            </w:r>
          </w:p>
        </w:tc>
      </w:tr>
      <w:tr w:rsidR="00E57771" w:rsidRPr="00F0381A" w14:paraId="032BC11D" w14:textId="77777777" w:rsidTr="79C731AC">
        <w:trPr>
          <w:trHeight w:val="352"/>
        </w:trPr>
        <w:tc>
          <w:tcPr>
            <w:tcW w:w="9628" w:type="dxa"/>
            <w:tcBorders>
              <w:top w:val="single" w:sz="4" w:space="0" w:color="004B88"/>
              <w:left w:val="single" w:sz="4" w:space="0" w:color="004B88"/>
              <w:bottom w:val="single" w:sz="4" w:space="0" w:color="004B88"/>
              <w:right w:val="single" w:sz="4" w:space="0" w:color="004B88"/>
            </w:tcBorders>
            <w:shd w:val="clear" w:color="auto" w:fill="004B88"/>
          </w:tcPr>
          <w:p w14:paraId="04221880" w14:textId="0F15984F" w:rsidR="00E57771" w:rsidRPr="00F0381A" w:rsidRDefault="000E120D" w:rsidP="00FC0CDC">
            <w:pPr>
              <w:pStyle w:val="NormalWeb"/>
              <w:spacing w:before="0" w:beforeAutospacing="0" w:after="0" w:afterAutospacing="0"/>
              <w:rPr>
                <w:rFonts w:ascii="Open Sans" w:hAnsi="Open Sans" w:cs="Open Sans"/>
                <w:b/>
                <w:bCs/>
                <w:color w:val="FFFFFF" w:themeColor="background1"/>
                <w:lang w:val="en-GB"/>
              </w:rPr>
            </w:pPr>
            <w:r w:rsidRPr="00F0381A">
              <w:rPr>
                <w:rFonts w:ascii="Open Sans" w:hAnsi="Open Sans" w:cs="Open Sans"/>
                <w:b/>
                <w:bCs/>
                <w:color w:val="FFFFFF" w:themeColor="background1"/>
                <w:lang w:val="en-GB"/>
              </w:rPr>
              <w:t>Data Analysis</w:t>
            </w:r>
            <w:r w:rsidR="00221442" w:rsidRPr="00F0381A">
              <w:rPr>
                <w:rFonts w:ascii="Open Sans" w:hAnsi="Open Sans" w:cs="Open Sans"/>
                <w:b/>
                <w:bCs/>
                <w:color w:val="FFFFFF" w:themeColor="background1"/>
                <w:lang w:val="en-GB"/>
              </w:rPr>
              <w:t xml:space="preserve"> &amp; Insight</w:t>
            </w:r>
          </w:p>
        </w:tc>
      </w:tr>
      <w:tr w:rsidR="00A35746" w:rsidRPr="00F0381A" w14:paraId="73D41BCD" w14:textId="77777777" w:rsidTr="79C731AC">
        <w:trPr>
          <w:trHeight w:val="352"/>
        </w:trPr>
        <w:tc>
          <w:tcPr>
            <w:tcW w:w="9628" w:type="dxa"/>
            <w:tcBorders>
              <w:top w:val="single" w:sz="4" w:space="0" w:color="004B88"/>
              <w:left w:val="single" w:sz="4" w:space="0" w:color="004B88"/>
              <w:bottom w:val="single" w:sz="4" w:space="0" w:color="004B88"/>
              <w:right w:val="single" w:sz="4" w:space="0" w:color="004B88"/>
            </w:tcBorders>
            <w:shd w:val="clear" w:color="auto" w:fill="auto"/>
          </w:tcPr>
          <w:p w14:paraId="763B8DA2" w14:textId="754A4F87" w:rsidR="00A35746" w:rsidRPr="00F0381A" w:rsidRDefault="00221442" w:rsidP="00221442">
            <w:pPr>
              <w:pStyle w:val="ListParagraph"/>
              <w:numPr>
                <w:ilvl w:val="0"/>
                <w:numId w:val="40"/>
              </w:numPr>
              <w:spacing w:after="160" w:line="259" w:lineRule="auto"/>
              <w:jc w:val="both"/>
              <w:rPr>
                <w:rFonts w:ascii="Open Sans" w:hAnsi="Open Sans" w:cs="Open Sans"/>
                <w:color w:val="1F4E79" w:themeColor="accent1" w:themeShade="80"/>
              </w:rPr>
            </w:pPr>
            <w:r w:rsidRPr="00F0381A">
              <w:rPr>
                <w:rFonts w:ascii="Open Sans" w:hAnsi="Open Sans" w:cs="Open Sans"/>
                <w:color w:val="1F4E79" w:themeColor="accent1" w:themeShade="80"/>
              </w:rPr>
              <w:t>Co-ordinate data analysis across the breadth of CANs services to standardise service and performance reporting. Desi</w:t>
            </w:r>
            <w:r w:rsidR="00611158" w:rsidRPr="00F0381A">
              <w:rPr>
                <w:rFonts w:ascii="Open Sans" w:hAnsi="Open Sans" w:cs="Open Sans"/>
                <w:color w:val="1F4E79" w:themeColor="accent1" w:themeShade="80"/>
              </w:rPr>
              <w:t>gn and implement an</w:t>
            </w:r>
            <w:r w:rsidRPr="00F0381A">
              <w:rPr>
                <w:rFonts w:ascii="Open Sans" w:hAnsi="Open Sans" w:cs="Open Sans"/>
                <w:color w:val="1F4E79" w:themeColor="accent1" w:themeShade="80"/>
              </w:rPr>
              <w:t xml:space="preserve"> impactful and insightful </w:t>
            </w:r>
            <w:r w:rsidR="00611158" w:rsidRPr="00F0381A">
              <w:rPr>
                <w:rFonts w:ascii="Open Sans" w:hAnsi="Open Sans" w:cs="Open Sans"/>
                <w:color w:val="1F4E79" w:themeColor="accent1" w:themeShade="80"/>
              </w:rPr>
              <w:t xml:space="preserve">suite of </w:t>
            </w:r>
            <w:r w:rsidRPr="00F0381A">
              <w:rPr>
                <w:rFonts w:ascii="Open Sans" w:hAnsi="Open Sans" w:cs="Open Sans"/>
                <w:color w:val="1F4E79" w:themeColor="accent1" w:themeShade="80"/>
              </w:rPr>
              <w:t>data reports.</w:t>
            </w:r>
          </w:p>
          <w:p w14:paraId="1F8E7507" w14:textId="7F7EF4E9" w:rsidR="00221442" w:rsidRPr="00F0381A" w:rsidRDefault="00221442" w:rsidP="00221442">
            <w:pPr>
              <w:pStyle w:val="ListParagraph"/>
              <w:numPr>
                <w:ilvl w:val="0"/>
                <w:numId w:val="40"/>
              </w:numPr>
              <w:spacing w:after="160" w:line="259" w:lineRule="auto"/>
              <w:jc w:val="both"/>
              <w:rPr>
                <w:rFonts w:ascii="Open Sans" w:hAnsi="Open Sans" w:cs="Open Sans"/>
                <w:color w:val="1F4E79" w:themeColor="accent1" w:themeShade="80"/>
              </w:rPr>
            </w:pPr>
            <w:r w:rsidRPr="00F0381A">
              <w:rPr>
                <w:rFonts w:ascii="Open Sans" w:hAnsi="Open Sans" w:cs="Open Sans"/>
                <w:color w:val="1F4E79" w:themeColor="accent1" w:themeShade="80"/>
              </w:rPr>
              <w:t>Liaise with partners and funders to ensure that data and performance reporting meets their needs and collaborate with partners to connect different data sets to provide comprehensive analysis.</w:t>
            </w:r>
          </w:p>
          <w:p w14:paraId="11E65B38" w14:textId="13D56637" w:rsidR="00A35746" w:rsidRPr="00F0381A" w:rsidRDefault="00221442" w:rsidP="79C731AC">
            <w:pPr>
              <w:pStyle w:val="ListParagraph"/>
              <w:numPr>
                <w:ilvl w:val="0"/>
                <w:numId w:val="40"/>
              </w:numPr>
              <w:spacing w:after="160" w:line="259" w:lineRule="auto"/>
              <w:jc w:val="both"/>
              <w:rPr>
                <w:rFonts w:ascii="Open Sans" w:hAnsi="Open Sans" w:cs="Open Sans"/>
                <w:color w:val="1F4E79" w:themeColor="accent1" w:themeShade="80"/>
              </w:rPr>
            </w:pPr>
            <w:r w:rsidRPr="00F0381A">
              <w:rPr>
                <w:rFonts w:ascii="Open Sans" w:hAnsi="Open Sans" w:cs="Open Sans"/>
                <w:color w:val="1F4E79" w:themeColor="accent1" w:themeShade="80"/>
              </w:rPr>
              <w:t>Provide data &amp; insight support to funding bids</w:t>
            </w:r>
            <w:r w:rsidR="00F0381A">
              <w:rPr>
                <w:rFonts w:ascii="Open Sans" w:hAnsi="Open Sans" w:cs="Open Sans"/>
                <w:color w:val="1F4E79" w:themeColor="accent1" w:themeShade="80"/>
              </w:rPr>
              <w:t>, business cases and to support the development of new services.</w:t>
            </w:r>
          </w:p>
          <w:p w14:paraId="4D41E3FC" w14:textId="1C08BFA0" w:rsidR="00611158" w:rsidRPr="00F0381A" w:rsidRDefault="00611158" w:rsidP="79C731AC">
            <w:pPr>
              <w:pStyle w:val="ListParagraph"/>
              <w:numPr>
                <w:ilvl w:val="0"/>
                <w:numId w:val="40"/>
              </w:numPr>
              <w:spacing w:after="160" w:line="259" w:lineRule="auto"/>
              <w:jc w:val="both"/>
              <w:rPr>
                <w:rFonts w:ascii="Open Sans" w:hAnsi="Open Sans" w:cs="Open Sans"/>
                <w:color w:val="1F4E79" w:themeColor="accent1" w:themeShade="80"/>
              </w:rPr>
            </w:pPr>
            <w:r w:rsidRPr="00F0381A">
              <w:rPr>
                <w:rFonts w:ascii="Open Sans" w:hAnsi="Open Sans" w:cs="Open Sans"/>
                <w:color w:val="1F4E79" w:themeColor="accent1" w:themeShade="80"/>
              </w:rPr>
              <w:t xml:space="preserve">Proactively engage with service leads to ensure that reporting systems provide the analysis required and adapt systems to ensure that data is recorded consistently and accurately and provides the intelligence required. </w:t>
            </w:r>
          </w:p>
        </w:tc>
      </w:tr>
    </w:tbl>
    <w:p w14:paraId="52C2A6FF" w14:textId="77777777" w:rsidR="003D4693" w:rsidRPr="00F0381A" w:rsidRDefault="003D4693">
      <w:r w:rsidRPr="00F0381A">
        <w:br w:type="page"/>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6311"/>
        <w:gridCol w:w="1354"/>
        <w:gridCol w:w="1349"/>
      </w:tblGrid>
      <w:tr w:rsidR="00A35746" w:rsidRPr="00F0381A" w14:paraId="6B70669C" w14:textId="77777777" w:rsidTr="79C731AC">
        <w:trPr>
          <w:trHeight w:val="352"/>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3AEB2ED5" w14:textId="2CE11A82" w:rsidR="00A35746" w:rsidRPr="00F0381A" w:rsidRDefault="000E120D" w:rsidP="00FC0CDC">
            <w:pPr>
              <w:pStyle w:val="NormalWeb"/>
              <w:spacing w:before="0" w:beforeAutospacing="0" w:after="0" w:afterAutospacing="0"/>
              <w:rPr>
                <w:rFonts w:ascii="Open Sans" w:hAnsi="Open Sans" w:cs="Open Sans"/>
                <w:b/>
                <w:bCs/>
                <w:color w:val="FFFFFF" w:themeColor="background1"/>
                <w:lang w:val="en-GB"/>
              </w:rPr>
            </w:pPr>
            <w:r w:rsidRPr="00F0381A">
              <w:rPr>
                <w:rFonts w:ascii="Open Sans" w:hAnsi="Open Sans" w:cs="Open Sans"/>
                <w:b/>
                <w:bCs/>
                <w:color w:val="FFFFFF" w:themeColor="background1"/>
                <w:lang w:val="en-GB"/>
              </w:rPr>
              <w:lastRenderedPageBreak/>
              <w:t>Research &amp; Campaigns</w:t>
            </w:r>
          </w:p>
        </w:tc>
      </w:tr>
      <w:tr w:rsidR="00AC19D4" w:rsidRPr="00F0381A" w14:paraId="283E0D1C" w14:textId="77777777" w:rsidTr="79C731AC">
        <w:trPr>
          <w:trHeight w:val="983"/>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14:paraId="665A6BEB" w14:textId="465BB36D" w:rsidR="00F66FF8" w:rsidRPr="00F0381A" w:rsidRDefault="00F213BE" w:rsidP="00582B30">
            <w:pPr>
              <w:pStyle w:val="ListParagraph"/>
              <w:numPr>
                <w:ilvl w:val="0"/>
                <w:numId w:val="29"/>
              </w:numPr>
              <w:spacing w:after="160" w:line="259" w:lineRule="auto"/>
              <w:jc w:val="both"/>
              <w:rPr>
                <w:rFonts w:ascii="Open Sans" w:hAnsi="Open Sans" w:cs="Open Sans"/>
                <w:color w:val="1F4E79" w:themeColor="accent1" w:themeShade="80"/>
              </w:rPr>
            </w:pPr>
            <w:r w:rsidRPr="00F0381A">
              <w:rPr>
                <w:rFonts w:ascii="Open Sans" w:hAnsi="Open Sans" w:cs="Open Sans"/>
                <w:color w:val="1F4E79" w:themeColor="accent1" w:themeShade="80"/>
              </w:rPr>
              <w:t>Lead a team in conducting quantitative and qualitative driven research support campaigns, addressing issues and influencing change</w:t>
            </w:r>
          </w:p>
          <w:p w14:paraId="46FF28CD" w14:textId="51EA73BA" w:rsidR="00F213BE" w:rsidRPr="00F0381A" w:rsidRDefault="00F213BE" w:rsidP="00582B30">
            <w:pPr>
              <w:pStyle w:val="ListParagraph"/>
              <w:numPr>
                <w:ilvl w:val="0"/>
                <w:numId w:val="29"/>
              </w:numPr>
              <w:spacing w:after="160" w:line="259" w:lineRule="auto"/>
              <w:jc w:val="both"/>
              <w:rPr>
                <w:rFonts w:ascii="Open Sans" w:hAnsi="Open Sans" w:cs="Open Sans"/>
                <w:color w:val="1F4E79" w:themeColor="accent1" w:themeShade="80"/>
              </w:rPr>
            </w:pPr>
            <w:r w:rsidRPr="00F0381A">
              <w:rPr>
                <w:rFonts w:ascii="Open Sans" w:hAnsi="Open Sans" w:cs="Open Sans"/>
                <w:color w:val="1F4E79" w:themeColor="accent1" w:themeShade="80"/>
              </w:rPr>
              <w:t>Collaborate with internal teams and external partners and stakeholders to design and implement evidence-based campaigns that drive positive change and impact.</w:t>
            </w:r>
          </w:p>
          <w:p w14:paraId="3E0FD491" w14:textId="1414A67D" w:rsidR="00582B30" w:rsidRPr="00F0381A" w:rsidRDefault="00F213BE" w:rsidP="00F213BE">
            <w:pPr>
              <w:pStyle w:val="ListParagraph"/>
              <w:numPr>
                <w:ilvl w:val="0"/>
                <w:numId w:val="29"/>
              </w:numPr>
              <w:spacing w:after="160" w:line="259" w:lineRule="auto"/>
              <w:jc w:val="both"/>
              <w:rPr>
                <w:rFonts w:ascii="Open Sans" w:hAnsi="Open Sans" w:cs="Open Sans"/>
                <w:color w:val="1F4E79" w:themeColor="accent1" w:themeShade="80"/>
              </w:rPr>
            </w:pPr>
            <w:r w:rsidRPr="00F0381A">
              <w:rPr>
                <w:rFonts w:ascii="Open Sans" w:hAnsi="Open Sans" w:cs="Open Sans"/>
                <w:color w:val="1F4E79" w:themeColor="accent1" w:themeShade="80"/>
              </w:rPr>
              <w:t xml:space="preserve">Utilize data analysis to inform the development and evaluation of campaign strategies and objectives.  </w:t>
            </w:r>
          </w:p>
        </w:tc>
      </w:tr>
      <w:tr w:rsidR="002E495D" w:rsidRPr="00F0381A" w14:paraId="27E22D8C" w14:textId="77777777" w:rsidTr="79C731AC">
        <w:tblPrEx>
          <w:jc w:val="center"/>
        </w:tblPrEx>
        <w:trPr>
          <w:jc w:val="center"/>
        </w:trPr>
        <w:tc>
          <w:tcPr>
            <w:tcW w:w="9628" w:type="dxa"/>
            <w:gridSpan w:val="4"/>
            <w:shd w:val="clear" w:color="auto" w:fill="004B88"/>
          </w:tcPr>
          <w:p w14:paraId="7CFD98F7" w14:textId="14EA89D5" w:rsidR="002E495D" w:rsidRPr="00F0381A" w:rsidRDefault="002E495D" w:rsidP="00213B87">
            <w:pPr>
              <w:pStyle w:val="NormalWeb"/>
              <w:rPr>
                <w:rFonts w:ascii="Open Sans" w:hAnsi="Open Sans" w:cs="Open Sans"/>
                <w:b/>
                <w:bCs/>
                <w:color w:val="FFFFFF"/>
                <w:lang w:val="en-GB"/>
              </w:rPr>
            </w:pPr>
            <w:r w:rsidRPr="00F0381A">
              <w:rPr>
                <w:rFonts w:ascii="Open Sans" w:hAnsi="Open Sans" w:cs="Open Sans"/>
                <w:b/>
                <w:bCs/>
                <w:color w:val="FFFFFF"/>
                <w:lang w:val="en-GB"/>
              </w:rPr>
              <w:t>Equity, Diversity &amp; Inclusion</w:t>
            </w:r>
          </w:p>
        </w:tc>
      </w:tr>
      <w:tr w:rsidR="002E495D" w:rsidRPr="00F0381A" w14:paraId="58D8E229" w14:textId="77777777" w:rsidTr="79C731AC">
        <w:tblPrEx>
          <w:jc w:val="center"/>
        </w:tblPrEx>
        <w:trPr>
          <w:jc w:val="center"/>
        </w:trPr>
        <w:tc>
          <w:tcPr>
            <w:tcW w:w="9628" w:type="dxa"/>
            <w:gridSpan w:val="4"/>
            <w:shd w:val="clear" w:color="auto" w:fill="auto"/>
          </w:tcPr>
          <w:p w14:paraId="551CE2E2" w14:textId="57B0CC79" w:rsidR="002E495D" w:rsidRPr="00F0381A" w:rsidRDefault="002E495D" w:rsidP="79C731AC">
            <w:pPr>
              <w:pStyle w:val="NormalWeb"/>
              <w:numPr>
                <w:ilvl w:val="0"/>
                <w:numId w:val="29"/>
              </w:numPr>
              <w:rPr>
                <w:rFonts w:ascii="Open Sans" w:hAnsi="Open Sans" w:cs="Open Sans"/>
                <w:color w:val="004B88"/>
                <w:lang w:val="en-GB"/>
              </w:rPr>
            </w:pPr>
            <w:r w:rsidRPr="00F0381A">
              <w:rPr>
                <w:rFonts w:ascii="Open Sans" w:hAnsi="Open Sans" w:cs="Open Sans"/>
                <w:color w:val="004B88"/>
                <w:lang w:val="en-GB"/>
              </w:rPr>
              <w:t xml:space="preserve">Support the Equity, Diversity &amp; Inclusion Officer to research, apply and promote diversity </w:t>
            </w:r>
            <w:r w:rsidR="15020D99" w:rsidRPr="00F0381A">
              <w:rPr>
                <w:rFonts w:ascii="Open Sans" w:hAnsi="Open Sans" w:cs="Open Sans"/>
                <w:color w:val="004B88"/>
                <w:lang w:val="en-GB"/>
              </w:rPr>
              <w:t xml:space="preserve">initiatives. </w:t>
            </w:r>
          </w:p>
          <w:p w14:paraId="38BA298D" w14:textId="0604DB1C" w:rsidR="00F213BE" w:rsidRPr="00F0381A" w:rsidRDefault="00F213BE" w:rsidP="002E495D">
            <w:pPr>
              <w:pStyle w:val="NormalWeb"/>
              <w:numPr>
                <w:ilvl w:val="0"/>
                <w:numId w:val="29"/>
              </w:numPr>
              <w:rPr>
                <w:rFonts w:ascii="Open Sans" w:hAnsi="Open Sans" w:cs="Open Sans"/>
                <w:bCs/>
                <w:color w:val="004B88"/>
                <w:lang w:val="en-GB"/>
              </w:rPr>
            </w:pPr>
            <w:r w:rsidRPr="00F0381A">
              <w:rPr>
                <w:rFonts w:ascii="Open Sans" w:hAnsi="Open Sans" w:cs="Open Sans"/>
                <w:color w:val="004B88"/>
                <w:lang w:val="en-GB"/>
              </w:rPr>
              <w:t>Identify areas of inequality and highlight vulnerable groups to guide the organisation’s targeted support</w:t>
            </w:r>
          </w:p>
        </w:tc>
      </w:tr>
      <w:tr w:rsidR="00115FAB" w:rsidRPr="00F0381A" w14:paraId="2887691B" w14:textId="77777777" w:rsidTr="79C731AC">
        <w:tblPrEx>
          <w:jc w:val="center"/>
        </w:tblPrEx>
        <w:trPr>
          <w:jc w:val="center"/>
        </w:trPr>
        <w:tc>
          <w:tcPr>
            <w:tcW w:w="9628" w:type="dxa"/>
            <w:gridSpan w:val="4"/>
            <w:shd w:val="clear" w:color="auto" w:fill="004B88"/>
          </w:tcPr>
          <w:p w14:paraId="0B451704" w14:textId="29633548" w:rsidR="00115FAB" w:rsidRPr="00F0381A" w:rsidRDefault="00C45F88" w:rsidP="00213B87">
            <w:pPr>
              <w:pStyle w:val="NormalWeb"/>
              <w:rPr>
                <w:rFonts w:ascii="Open Sans" w:hAnsi="Open Sans" w:cs="Open Sans"/>
                <w:b/>
                <w:color w:val="FFFFFF"/>
                <w:lang w:val="en-GB"/>
              </w:rPr>
            </w:pPr>
            <w:r w:rsidRPr="00F0381A">
              <w:rPr>
                <w:rFonts w:ascii="Open Sans" w:hAnsi="Open Sans" w:cs="Open Sans"/>
                <w:b/>
                <w:color w:val="FFFFFF"/>
                <w:lang w:val="en-GB"/>
              </w:rPr>
              <w:t>Communications</w:t>
            </w:r>
          </w:p>
        </w:tc>
      </w:tr>
      <w:tr w:rsidR="00C45F88" w:rsidRPr="00F0381A" w14:paraId="5C7F2D99" w14:textId="77777777" w:rsidTr="00C45F88">
        <w:tblPrEx>
          <w:jc w:val="center"/>
        </w:tblPrEx>
        <w:trPr>
          <w:jc w:val="center"/>
        </w:trPr>
        <w:tc>
          <w:tcPr>
            <w:tcW w:w="9628" w:type="dxa"/>
            <w:gridSpan w:val="4"/>
            <w:shd w:val="clear" w:color="auto" w:fill="auto"/>
          </w:tcPr>
          <w:p w14:paraId="0CEE2143" w14:textId="3969FEF0" w:rsidR="00C45F88" w:rsidRPr="00F0381A" w:rsidRDefault="003F00E8" w:rsidP="00C45F88">
            <w:pPr>
              <w:pStyle w:val="NormalWeb"/>
              <w:numPr>
                <w:ilvl w:val="0"/>
                <w:numId w:val="41"/>
              </w:numPr>
              <w:rPr>
                <w:rFonts w:ascii="Open Sans" w:hAnsi="Open Sans" w:cs="Open Sans"/>
                <w:b/>
                <w:bCs/>
                <w:color w:val="004B88"/>
                <w:lang w:val="en-GB"/>
              </w:rPr>
            </w:pPr>
            <w:r w:rsidRPr="00F0381A">
              <w:rPr>
                <w:rFonts w:ascii="Open Sans" w:hAnsi="Open Sans" w:cs="Open Sans"/>
                <w:bCs/>
                <w:color w:val="004B88"/>
                <w:lang w:val="en-GB"/>
              </w:rPr>
              <w:t>Working with the Deputy Chief Officer, lead</w:t>
            </w:r>
            <w:r w:rsidR="00C45F88" w:rsidRPr="00F0381A">
              <w:rPr>
                <w:rFonts w:ascii="Open Sans" w:hAnsi="Open Sans" w:cs="Open Sans"/>
                <w:bCs/>
                <w:color w:val="004B88"/>
                <w:lang w:val="en-GB"/>
              </w:rPr>
              <w:t xml:space="preserve"> the development </w:t>
            </w:r>
            <w:r w:rsidRPr="00F0381A">
              <w:rPr>
                <w:rFonts w:ascii="Open Sans" w:hAnsi="Open Sans" w:cs="Open Sans"/>
                <w:bCs/>
                <w:color w:val="004B88"/>
                <w:lang w:val="en-GB"/>
              </w:rPr>
              <w:t xml:space="preserve">and implementation </w:t>
            </w:r>
            <w:r w:rsidR="00C45F88" w:rsidRPr="00F0381A">
              <w:rPr>
                <w:rFonts w:ascii="Open Sans" w:hAnsi="Open Sans" w:cs="Open Sans"/>
                <w:bCs/>
                <w:color w:val="004B88"/>
                <w:lang w:val="en-GB"/>
              </w:rPr>
              <w:t xml:space="preserve">of the CANS Communications </w:t>
            </w:r>
            <w:proofErr w:type="gramStart"/>
            <w:r w:rsidR="00C45F88" w:rsidRPr="00F0381A">
              <w:rPr>
                <w:rFonts w:ascii="Open Sans" w:hAnsi="Open Sans" w:cs="Open Sans"/>
                <w:bCs/>
                <w:color w:val="004B88"/>
                <w:lang w:val="en-GB"/>
              </w:rPr>
              <w:t xml:space="preserve">Strategy </w:t>
            </w:r>
            <w:r w:rsidRPr="00F0381A">
              <w:rPr>
                <w:rFonts w:ascii="Open Sans" w:hAnsi="Open Sans" w:cs="Open Sans"/>
                <w:bCs/>
                <w:color w:val="004B88"/>
                <w:lang w:val="en-GB"/>
              </w:rPr>
              <w:t xml:space="preserve"> ensuring</w:t>
            </w:r>
            <w:proofErr w:type="gramEnd"/>
            <w:r w:rsidRPr="00F0381A">
              <w:rPr>
                <w:rFonts w:ascii="Open Sans" w:hAnsi="Open Sans" w:cs="Open Sans"/>
                <w:bCs/>
                <w:color w:val="004B88"/>
                <w:lang w:val="en-GB"/>
              </w:rPr>
              <w:t xml:space="preserve"> robust internal and external communication channels</w:t>
            </w:r>
          </w:p>
          <w:p w14:paraId="2C072A47" w14:textId="1122037F" w:rsidR="003F00E8" w:rsidRPr="00F0381A" w:rsidRDefault="003F00E8" w:rsidP="00C45F88">
            <w:pPr>
              <w:pStyle w:val="NormalWeb"/>
              <w:numPr>
                <w:ilvl w:val="0"/>
                <w:numId w:val="41"/>
              </w:numPr>
              <w:rPr>
                <w:rFonts w:ascii="Open Sans" w:hAnsi="Open Sans" w:cs="Open Sans"/>
                <w:b/>
                <w:bCs/>
                <w:color w:val="004B88"/>
                <w:lang w:val="en-GB"/>
              </w:rPr>
            </w:pPr>
            <w:r w:rsidRPr="00F0381A">
              <w:rPr>
                <w:rFonts w:ascii="Open Sans" w:hAnsi="Open Sans" w:cs="Open Sans"/>
                <w:bCs/>
                <w:color w:val="004B88"/>
                <w:lang w:val="en-GB"/>
              </w:rPr>
              <w:t>Support the Communication Officer in writing content for a range of publications, purposes and audiences, including digital and social media content</w:t>
            </w:r>
          </w:p>
          <w:p w14:paraId="1B7B191D" w14:textId="0E2F507C" w:rsidR="003F00E8" w:rsidRPr="00F0381A" w:rsidRDefault="003F00E8" w:rsidP="00C45F88">
            <w:pPr>
              <w:pStyle w:val="NormalWeb"/>
              <w:numPr>
                <w:ilvl w:val="0"/>
                <w:numId w:val="41"/>
              </w:numPr>
              <w:rPr>
                <w:rFonts w:ascii="Open Sans" w:hAnsi="Open Sans" w:cs="Open Sans"/>
                <w:b/>
                <w:bCs/>
                <w:color w:val="004B88"/>
                <w:lang w:val="en-GB"/>
              </w:rPr>
            </w:pPr>
            <w:r w:rsidRPr="00F0381A">
              <w:rPr>
                <w:rFonts w:ascii="Open Sans" w:hAnsi="Open Sans" w:cs="Open Sans"/>
                <w:bCs/>
                <w:color w:val="004B88"/>
                <w:lang w:val="en-GB"/>
              </w:rPr>
              <w:t xml:space="preserve">Create reports and presentations that develop key messages and tailor them to the needs of the CANS stakeholders and policy makers.  </w:t>
            </w:r>
          </w:p>
        </w:tc>
      </w:tr>
      <w:tr w:rsidR="00F0381A" w:rsidRPr="00F0381A" w14:paraId="66EFFD94" w14:textId="77777777" w:rsidTr="008E0EA2">
        <w:tblPrEx>
          <w:jc w:val="center"/>
        </w:tblPrEx>
        <w:trPr>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3CF03A0E" w14:textId="77777777" w:rsidR="00F0381A" w:rsidRPr="00F0381A" w:rsidRDefault="00F0381A" w:rsidP="008E0EA2">
            <w:pPr>
              <w:pStyle w:val="NormalWeb"/>
              <w:rPr>
                <w:rFonts w:ascii="Open Sans" w:hAnsi="Open Sans" w:cs="Open Sans"/>
                <w:b/>
                <w:bCs/>
                <w:color w:val="FFFFFF"/>
                <w:lang w:val="en-GB"/>
              </w:rPr>
            </w:pPr>
            <w:r w:rsidRPr="00F0381A">
              <w:rPr>
                <w:rFonts w:ascii="Open Sans" w:hAnsi="Open Sans" w:cs="Open Sans"/>
                <w:b/>
                <w:bCs/>
                <w:color w:val="FFFFFF"/>
                <w:lang w:val="en-GB"/>
              </w:rPr>
              <w:t>Staff Management</w:t>
            </w:r>
          </w:p>
        </w:tc>
      </w:tr>
      <w:tr w:rsidR="00F0381A" w:rsidRPr="00F0381A" w14:paraId="11A1CFFD" w14:textId="77777777" w:rsidTr="00C45F88">
        <w:tblPrEx>
          <w:jc w:val="center"/>
        </w:tblPrEx>
        <w:trPr>
          <w:jc w:val="center"/>
        </w:trPr>
        <w:tc>
          <w:tcPr>
            <w:tcW w:w="9628" w:type="dxa"/>
            <w:gridSpan w:val="4"/>
            <w:shd w:val="clear" w:color="auto" w:fill="auto"/>
          </w:tcPr>
          <w:p w14:paraId="531B6BCD" w14:textId="77777777" w:rsidR="00F0381A" w:rsidRPr="00F0381A" w:rsidRDefault="00F0381A" w:rsidP="00F0381A">
            <w:pPr>
              <w:pStyle w:val="NormalWeb"/>
              <w:numPr>
                <w:ilvl w:val="0"/>
                <w:numId w:val="41"/>
              </w:numPr>
              <w:rPr>
                <w:rFonts w:ascii="Open Sans" w:hAnsi="Open Sans" w:cs="Open Sans"/>
                <w:bCs/>
                <w:color w:val="004B88"/>
                <w:lang w:val="en-GB"/>
              </w:rPr>
            </w:pPr>
            <w:r w:rsidRPr="00F0381A">
              <w:rPr>
                <w:rFonts w:ascii="Open Sans" w:hAnsi="Open Sans" w:cs="Open Sans"/>
                <w:bCs/>
                <w:color w:val="004B88"/>
                <w:lang w:val="en-GB"/>
              </w:rPr>
              <w:t xml:space="preserve">Create a positive working environment in which equality and diversity are well managed, dignity at work is upheld and staff can do their best; </w:t>
            </w:r>
          </w:p>
          <w:p w14:paraId="5E03749B" w14:textId="77777777" w:rsidR="00F0381A" w:rsidRPr="00F0381A" w:rsidRDefault="00F0381A" w:rsidP="00F0381A">
            <w:pPr>
              <w:pStyle w:val="NormalWeb"/>
              <w:numPr>
                <w:ilvl w:val="0"/>
                <w:numId w:val="41"/>
              </w:numPr>
              <w:rPr>
                <w:rFonts w:ascii="Open Sans" w:hAnsi="Open Sans" w:cs="Open Sans"/>
                <w:bCs/>
                <w:color w:val="004B88"/>
                <w:lang w:val="en-GB"/>
              </w:rPr>
            </w:pPr>
            <w:r w:rsidRPr="00F0381A">
              <w:rPr>
                <w:rFonts w:ascii="Open Sans" w:hAnsi="Open Sans" w:cs="Open Sans"/>
                <w:bCs/>
                <w:color w:val="004B88"/>
                <w:lang w:val="en-GB"/>
              </w:rPr>
              <w:t xml:space="preserve">Participate in the recruitment and selection activities as delegated; </w:t>
            </w:r>
          </w:p>
          <w:p w14:paraId="6D5FDCAD" w14:textId="275D4E20" w:rsidR="00F0381A" w:rsidRPr="00F0381A" w:rsidRDefault="00F0381A" w:rsidP="00F0381A">
            <w:pPr>
              <w:pStyle w:val="NormalWeb"/>
              <w:numPr>
                <w:ilvl w:val="0"/>
                <w:numId w:val="41"/>
              </w:numPr>
              <w:rPr>
                <w:rFonts w:ascii="Open Sans" w:hAnsi="Open Sans" w:cs="Open Sans"/>
                <w:bCs/>
                <w:color w:val="004B88"/>
                <w:lang w:val="en-GB"/>
              </w:rPr>
            </w:pPr>
            <w:r w:rsidRPr="00F0381A">
              <w:rPr>
                <w:rFonts w:ascii="Open Sans" w:hAnsi="Open Sans" w:cs="Open Sans"/>
                <w:bCs/>
                <w:color w:val="004B88"/>
                <w:lang w:val="en-GB"/>
              </w:rPr>
              <w:t xml:space="preserve">Ensure the effective performance management and development of staff (paid and volunteer) through regular supervision sessions, the appraisal process, learning and development, peer support and team meetings; </w:t>
            </w:r>
          </w:p>
        </w:tc>
      </w:tr>
      <w:tr w:rsidR="00C45F88" w:rsidRPr="00F0381A" w14:paraId="6187E115" w14:textId="77777777" w:rsidTr="79C731AC">
        <w:tblPrEx>
          <w:jc w:val="center"/>
        </w:tblPrEx>
        <w:trPr>
          <w:jc w:val="center"/>
        </w:trPr>
        <w:tc>
          <w:tcPr>
            <w:tcW w:w="9628" w:type="dxa"/>
            <w:gridSpan w:val="4"/>
            <w:shd w:val="clear" w:color="auto" w:fill="004B88"/>
          </w:tcPr>
          <w:p w14:paraId="668A450D" w14:textId="429A88F7" w:rsidR="00C45F88" w:rsidRPr="00F0381A" w:rsidRDefault="00C45F88" w:rsidP="00213B87">
            <w:pPr>
              <w:pStyle w:val="NormalWeb"/>
              <w:rPr>
                <w:rFonts w:ascii="Open Sans" w:hAnsi="Open Sans" w:cs="Open Sans"/>
                <w:b/>
                <w:bCs/>
                <w:color w:val="FFFFFF"/>
                <w:lang w:val="en-GB"/>
              </w:rPr>
            </w:pPr>
            <w:r w:rsidRPr="00F0381A">
              <w:rPr>
                <w:rFonts w:ascii="Open Sans" w:hAnsi="Open Sans" w:cs="Open Sans"/>
                <w:b/>
                <w:bCs/>
                <w:color w:val="FFFFFF"/>
                <w:lang w:val="en-GB"/>
              </w:rPr>
              <w:t>Other duties and responsibilities</w:t>
            </w:r>
          </w:p>
        </w:tc>
      </w:tr>
      <w:tr w:rsidR="00115FAB" w:rsidRPr="00F0381A" w14:paraId="76D910C9" w14:textId="77777777" w:rsidTr="003318DC">
        <w:tblPrEx>
          <w:jc w:val="center"/>
        </w:tblPrEx>
        <w:trPr>
          <w:trHeight w:val="699"/>
          <w:jc w:val="center"/>
        </w:trPr>
        <w:tc>
          <w:tcPr>
            <w:tcW w:w="9628" w:type="dxa"/>
            <w:gridSpan w:val="4"/>
            <w:tcBorders>
              <w:bottom w:val="single" w:sz="4" w:space="0" w:color="004B88"/>
            </w:tcBorders>
            <w:shd w:val="clear" w:color="auto" w:fill="auto"/>
          </w:tcPr>
          <w:p w14:paraId="6A35239E" w14:textId="77777777" w:rsidR="008733DF" w:rsidRPr="00F0381A" w:rsidRDefault="008733DF" w:rsidP="005F2CA0">
            <w:pPr>
              <w:numPr>
                <w:ilvl w:val="0"/>
                <w:numId w:val="29"/>
              </w:numPr>
              <w:spacing w:before="100" w:beforeAutospacing="1" w:after="100" w:afterAutospacing="1"/>
              <w:rPr>
                <w:rFonts w:ascii="Open Sans" w:hAnsi="Open Sans" w:cs="Open Sans"/>
                <w:color w:val="004B88"/>
              </w:rPr>
            </w:pPr>
            <w:r w:rsidRPr="00F0381A">
              <w:rPr>
                <w:rFonts w:ascii="Open Sans" w:hAnsi="Open Sans" w:cs="Open Sans"/>
                <w:color w:val="004B88"/>
              </w:rPr>
              <w:t>Keep up to date with Citizens Advice aims, principles and procedures and ensure these are followed.</w:t>
            </w:r>
          </w:p>
          <w:p w14:paraId="35A0175C" w14:textId="77777777" w:rsidR="008733DF" w:rsidRPr="00F0381A" w:rsidRDefault="008733DF" w:rsidP="005F2CA0">
            <w:pPr>
              <w:numPr>
                <w:ilvl w:val="0"/>
                <w:numId w:val="29"/>
              </w:numPr>
              <w:spacing w:before="100" w:beforeAutospacing="1" w:after="100" w:afterAutospacing="1"/>
              <w:rPr>
                <w:rFonts w:ascii="Open Sans" w:hAnsi="Open Sans" w:cs="Open Sans"/>
                <w:color w:val="004B88"/>
              </w:rPr>
            </w:pPr>
            <w:r w:rsidRPr="00F0381A">
              <w:rPr>
                <w:rFonts w:ascii="Open Sans" w:hAnsi="Open Sans" w:cs="Open Sans"/>
                <w:color w:val="004B88"/>
              </w:rPr>
              <w:t>Ensure that work reflects and supports the Citizens Advice service’s equality and diversity strategy.</w:t>
            </w:r>
          </w:p>
          <w:p w14:paraId="691313A2" w14:textId="77777777" w:rsidR="008733DF" w:rsidRPr="00F0381A" w:rsidRDefault="008733DF" w:rsidP="005F2CA0">
            <w:pPr>
              <w:numPr>
                <w:ilvl w:val="0"/>
                <w:numId w:val="29"/>
              </w:numPr>
              <w:spacing w:before="100" w:beforeAutospacing="1" w:after="100" w:afterAutospacing="1"/>
              <w:rPr>
                <w:rFonts w:ascii="Open Sans" w:hAnsi="Open Sans" w:cs="Open Sans"/>
                <w:color w:val="004B88"/>
              </w:rPr>
            </w:pPr>
            <w:r w:rsidRPr="00F0381A">
              <w:rPr>
                <w:rFonts w:ascii="Open Sans" w:hAnsi="Open Sans" w:cs="Open Sans"/>
                <w:color w:val="004B88"/>
              </w:rPr>
              <w:t>Abide by health and safety guidelines and share responsibility for own health and safety and that of colleagues.</w:t>
            </w:r>
          </w:p>
          <w:p w14:paraId="608081D8" w14:textId="77777777" w:rsidR="00115FAB" w:rsidRPr="00F0381A" w:rsidRDefault="008733DF" w:rsidP="005F2CA0">
            <w:pPr>
              <w:pStyle w:val="ListParagraph"/>
              <w:numPr>
                <w:ilvl w:val="0"/>
                <w:numId w:val="29"/>
              </w:numPr>
              <w:spacing w:after="100" w:afterAutospacing="1"/>
              <w:rPr>
                <w:rFonts w:ascii="Open Sans" w:hAnsi="Open Sans" w:cs="Open Sans"/>
                <w:color w:val="004B88"/>
              </w:rPr>
            </w:pPr>
            <w:r w:rsidRPr="00F0381A">
              <w:rPr>
                <w:rFonts w:ascii="Open Sans" w:hAnsi="Open Sans" w:cs="Open Sans"/>
                <w:color w:val="004B88"/>
              </w:rPr>
              <w:t>Carry out any other tasks within the scope of the post to ensure the effective delivery and development of the service.</w:t>
            </w:r>
          </w:p>
        </w:tc>
      </w:tr>
      <w:tr w:rsidR="00AC19D4" w:rsidRPr="00F0381A" w14:paraId="5577EA74" w14:textId="77777777" w:rsidTr="79C731AC">
        <w:tblPrEx>
          <w:jc w:val="center"/>
        </w:tblPrEx>
        <w:trPr>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294A749B" w14:textId="697665A7" w:rsidR="00FF0772" w:rsidRPr="00F0381A" w:rsidRDefault="008733DF" w:rsidP="008D2175">
            <w:pPr>
              <w:pStyle w:val="NormalWeb"/>
              <w:rPr>
                <w:rFonts w:ascii="Open Sans" w:hAnsi="Open Sans" w:cs="Open Sans"/>
                <w:b/>
                <w:bCs/>
                <w:color w:val="FFFFFF"/>
                <w:lang w:val="en-GB"/>
              </w:rPr>
            </w:pPr>
            <w:r w:rsidRPr="00F0381A">
              <w:rPr>
                <w:rFonts w:ascii="Open Sans" w:hAnsi="Open Sans" w:cs="Open Sans"/>
                <w:b/>
                <w:bCs/>
                <w:color w:val="FFFFFF"/>
                <w:lang w:val="en-GB"/>
              </w:rPr>
              <w:t>Training and development</w:t>
            </w:r>
            <w:r w:rsidR="00FF0772" w:rsidRPr="00F0381A">
              <w:rPr>
                <w:rFonts w:ascii="Open Sans" w:hAnsi="Open Sans" w:cs="Open Sans"/>
                <w:b/>
                <w:bCs/>
                <w:color w:val="FFFFFF"/>
                <w:lang w:val="en-GB"/>
              </w:rPr>
              <w:t xml:space="preserve"> </w:t>
            </w:r>
          </w:p>
        </w:tc>
      </w:tr>
      <w:tr w:rsidR="00AC19D4" w:rsidRPr="00F0381A" w14:paraId="562AA025" w14:textId="77777777" w:rsidTr="79C731AC">
        <w:tblPrEx>
          <w:jc w:val="center"/>
        </w:tblPrEx>
        <w:trPr>
          <w:trHeight w:val="70"/>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14:paraId="1B185EA0" w14:textId="3BA9668B" w:rsidR="00201D79" w:rsidRPr="00F0381A" w:rsidRDefault="00201D79" w:rsidP="00201D79">
            <w:pPr>
              <w:pStyle w:val="paragraph"/>
              <w:numPr>
                <w:ilvl w:val="0"/>
                <w:numId w:val="39"/>
              </w:numPr>
              <w:spacing w:before="0" w:beforeAutospacing="0" w:after="0" w:afterAutospacing="0"/>
              <w:ind w:left="360" w:firstLine="0"/>
              <w:textAlignment w:val="baseline"/>
              <w:rPr>
                <w:rFonts w:ascii="Open Sans" w:hAnsi="Open Sans" w:cs="Open Sans"/>
                <w:color w:val="004B88"/>
              </w:rPr>
            </w:pPr>
            <w:r w:rsidRPr="00F0381A">
              <w:rPr>
                <w:rStyle w:val="normaltextrun"/>
                <w:rFonts w:ascii="Open Sans" w:hAnsi="Open Sans" w:cs="Open Sans"/>
                <w:color w:val="004B88"/>
              </w:rPr>
              <w:lastRenderedPageBreak/>
              <w:t xml:space="preserve">Work with your line manager to undertake continual personal and </w:t>
            </w:r>
            <w:r w:rsidRPr="00F0381A">
              <w:rPr>
                <w:rStyle w:val="normaltextrun"/>
                <w:rFonts w:ascii="Open Sans" w:hAnsi="Open Sans" w:cs="Open Sans"/>
                <w:color w:val="004B88"/>
              </w:rPr>
              <w:tab/>
              <w:t xml:space="preserve">professional development, taking an active part in reviewing and developing </w:t>
            </w:r>
            <w:r w:rsidRPr="00F0381A">
              <w:rPr>
                <w:rStyle w:val="normaltextrun"/>
                <w:rFonts w:ascii="Open Sans" w:hAnsi="Open Sans" w:cs="Open Sans"/>
                <w:color w:val="004B88"/>
              </w:rPr>
              <w:tab/>
              <w:t>the roles and responsibilities.  </w:t>
            </w:r>
            <w:r w:rsidRPr="00F0381A">
              <w:rPr>
                <w:rStyle w:val="eop"/>
                <w:rFonts w:ascii="Open Sans" w:hAnsi="Open Sans" w:cs="Open Sans"/>
                <w:color w:val="004B88"/>
              </w:rPr>
              <w:t> </w:t>
            </w:r>
          </w:p>
          <w:p w14:paraId="3ECEB1EA" w14:textId="356FA509" w:rsidR="00201D79" w:rsidRPr="00F0381A" w:rsidRDefault="00201D79" w:rsidP="00201D79">
            <w:pPr>
              <w:pStyle w:val="paragraph"/>
              <w:numPr>
                <w:ilvl w:val="0"/>
                <w:numId w:val="39"/>
              </w:numPr>
              <w:spacing w:before="0" w:beforeAutospacing="0" w:after="0" w:afterAutospacing="0"/>
              <w:ind w:left="360" w:firstLine="0"/>
              <w:textAlignment w:val="baseline"/>
              <w:rPr>
                <w:rFonts w:ascii="Open Sans" w:hAnsi="Open Sans" w:cs="Open Sans"/>
                <w:color w:val="004B88"/>
              </w:rPr>
            </w:pPr>
            <w:r w:rsidRPr="00F0381A">
              <w:rPr>
                <w:rStyle w:val="normaltextrun"/>
                <w:rFonts w:ascii="Open Sans" w:hAnsi="Open Sans" w:cs="Open Sans"/>
                <w:color w:val="004B88"/>
              </w:rPr>
              <w:t xml:space="preserve">Keeping up to date with legislation, policies and procedures and undertake </w:t>
            </w:r>
            <w:r w:rsidRPr="00F0381A">
              <w:rPr>
                <w:rStyle w:val="normaltextrun"/>
                <w:rFonts w:ascii="Open Sans" w:hAnsi="Open Sans" w:cs="Open Sans"/>
                <w:color w:val="004B88"/>
              </w:rPr>
              <w:tab/>
              <w:t>appropriate training;</w:t>
            </w:r>
            <w:r w:rsidRPr="00F0381A">
              <w:rPr>
                <w:rStyle w:val="eop"/>
                <w:rFonts w:ascii="Open Sans" w:hAnsi="Open Sans" w:cs="Open Sans"/>
                <w:color w:val="004B88"/>
              </w:rPr>
              <w:t> </w:t>
            </w:r>
          </w:p>
          <w:p w14:paraId="1A8C2F3C" w14:textId="77777777" w:rsidR="00201D79" w:rsidRPr="00F0381A" w:rsidRDefault="00201D79" w:rsidP="00201D79">
            <w:pPr>
              <w:pStyle w:val="paragraph"/>
              <w:numPr>
                <w:ilvl w:val="0"/>
                <w:numId w:val="39"/>
              </w:numPr>
              <w:spacing w:before="0" w:beforeAutospacing="0" w:after="0" w:afterAutospacing="0"/>
              <w:ind w:left="360" w:firstLine="0"/>
              <w:textAlignment w:val="baseline"/>
              <w:rPr>
                <w:rFonts w:ascii="Open Sans" w:hAnsi="Open Sans" w:cs="Open Sans"/>
                <w:color w:val="004B88"/>
              </w:rPr>
            </w:pPr>
            <w:r w:rsidRPr="00F0381A">
              <w:rPr>
                <w:rStyle w:val="normaltextrun"/>
                <w:rFonts w:ascii="Open Sans" w:hAnsi="Open Sans" w:cs="Open Sans"/>
                <w:color w:val="004B88"/>
              </w:rPr>
              <w:t>Attending internal and external training</w:t>
            </w:r>
            <w:r w:rsidRPr="00F0381A">
              <w:rPr>
                <w:rStyle w:val="eop"/>
                <w:rFonts w:ascii="Open Sans" w:hAnsi="Open Sans" w:cs="Open Sans"/>
                <w:color w:val="004B88"/>
              </w:rPr>
              <w:t> </w:t>
            </w:r>
          </w:p>
          <w:p w14:paraId="0EFCC061" w14:textId="16931649" w:rsidR="00201D79" w:rsidRPr="00F0381A" w:rsidRDefault="00201D79" w:rsidP="00201D79">
            <w:pPr>
              <w:pStyle w:val="paragraph"/>
              <w:numPr>
                <w:ilvl w:val="0"/>
                <w:numId w:val="39"/>
              </w:numPr>
              <w:spacing w:before="0" w:beforeAutospacing="0" w:after="0" w:afterAutospacing="0"/>
              <w:ind w:left="360" w:firstLine="0"/>
              <w:textAlignment w:val="baseline"/>
              <w:rPr>
                <w:rFonts w:ascii="Open Sans" w:hAnsi="Open Sans" w:cs="Open Sans"/>
                <w:color w:val="004B88"/>
              </w:rPr>
            </w:pPr>
            <w:r w:rsidRPr="00F0381A">
              <w:rPr>
                <w:rStyle w:val="normaltextrun"/>
                <w:rFonts w:ascii="Open Sans" w:hAnsi="Open Sans" w:cs="Open Sans"/>
                <w:color w:val="004B88"/>
              </w:rPr>
              <w:t xml:space="preserve">Prepare for and attend supervision sessions/team meetings/staff meetings as </w:t>
            </w:r>
            <w:r w:rsidRPr="00F0381A">
              <w:rPr>
                <w:rStyle w:val="normaltextrun"/>
                <w:rFonts w:ascii="Open Sans" w:hAnsi="Open Sans" w:cs="Open Sans"/>
                <w:color w:val="004B88"/>
              </w:rPr>
              <w:tab/>
              <w:t>appropriate.</w:t>
            </w:r>
            <w:r w:rsidRPr="00F0381A">
              <w:rPr>
                <w:rStyle w:val="eop"/>
                <w:rFonts w:ascii="Open Sans" w:hAnsi="Open Sans" w:cs="Open Sans"/>
                <w:color w:val="004B88"/>
              </w:rPr>
              <w:t> </w:t>
            </w:r>
          </w:p>
          <w:p w14:paraId="116D09D4" w14:textId="3ABF09FC" w:rsidR="00201D79" w:rsidRPr="00F0381A" w:rsidRDefault="00201D79" w:rsidP="00201D79">
            <w:pPr>
              <w:pStyle w:val="paragraph"/>
              <w:numPr>
                <w:ilvl w:val="0"/>
                <w:numId w:val="39"/>
              </w:numPr>
              <w:spacing w:before="0" w:beforeAutospacing="0" w:after="0" w:afterAutospacing="0"/>
              <w:ind w:left="360" w:firstLine="0"/>
              <w:textAlignment w:val="baseline"/>
              <w:rPr>
                <w:rFonts w:ascii="Open Sans" w:hAnsi="Open Sans" w:cs="Open Sans"/>
                <w:color w:val="004B88"/>
              </w:rPr>
            </w:pPr>
            <w:r w:rsidRPr="00F0381A">
              <w:rPr>
                <w:rStyle w:val="normaltextrun"/>
                <w:rFonts w:ascii="Open Sans" w:hAnsi="Open Sans" w:cs="Open Sans"/>
                <w:color w:val="004B88"/>
              </w:rPr>
              <w:t xml:space="preserve">Adhere to organisational policies and procedures, including confidentiality, </w:t>
            </w:r>
            <w:r w:rsidRPr="00F0381A">
              <w:rPr>
                <w:rStyle w:val="normaltextrun"/>
                <w:rFonts w:ascii="Open Sans" w:hAnsi="Open Sans" w:cs="Open Sans"/>
                <w:color w:val="004B88"/>
              </w:rPr>
              <w:tab/>
              <w:t xml:space="preserve">safeguarding, lone working, information governance, and health and safety </w:t>
            </w:r>
            <w:r w:rsidRPr="00F0381A">
              <w:rPr>
                <w:rStyle w:val="normaltextrun"/>
                <w:rFonts w:ascii="Open Sans" w:hAnsi="Open Sans" w:cs="Open Sans"/>
                <w:color w:val="004B88"/>
              </w:rPr>
              <w:tab/>
              <w:t>and share responsibility for your own safety and that of your colleagues; </w:t>
            </w:r>
            <w:r w:rsidRPr="00F0381A">
              <w:rPr>
                <w:rStyle w:val="eop"/>
                <w:rFonts w:ascii="Open Sans" w:hAnsi="Open Sans" w:cs="Open Sans"/>
                <w:color w:val="004B88"/>
              </w:rPr>
              <w:t> </w:t>
            </w:r>
          </w:p>
          <w:p w14:paraId="1F1ED386" w14:textId="77777777" w:rsidR="00201D79" w:rsidRPr="00F0381A" w:rsidRDefault="00201D79" w:rsidP="00201D79">
            <w:pPr>
              <w:pStyle w:val="paragraph"/>
              <w:numPr>
                <w:ilvl w:val="0"/>
                <w:numId w:val="39"/>
              </w:numPr>
              <w:spacing w:before="0" w:beforeAutospacing="0" w:after="0" w:afterAutospacing="0"/>
              <w:ind w:left="360" w:firstLine="0"/>
              <w:textAlignment w:val="baseline"/>
              <w:rPr>
                <w:rFonts w:ascii="Open Sans" w:hAnsi="Open Sans" w:cs="Open Sans"/>
                <w:color w:val="004B88"/>
              </w:rPr>
            </w:pPr>
            <w:r w:rsidRPr="00F0381A">
              <w:rPr>
                <w:rStyle w:val="normaltextrun"/>
                <w:rFonts w:ascii="Open Sans" w:hAnsi="Open Sans" w:cs="Open Sans"/>
                <w:color w:val="004B88"/>
              </w:rPr>
              <w:t>Demonstrate commitment to the aims and principles of Citizens Advice.</w:t>
            </w:r>
            <w:r w:rsidRPr="00F0381A">
              <w:rPr>
                <w:rStyle w:val="eop"/>
                <w:rFonts w:ascii="Open Sans" w:hAnsi="Open Sans" w:cs="Open Sans"/>
                <w:color w:val="004B88"/>
              </w:rPr>
              <w:t> </w:t>
            </w:r>
          </w:p>
          <w:p w14:paraId="0D0B940D" w14:textId="77777777" w:rsidR="008A02DC" w:rsidRPr="00F0381A" w:rsidRDefault="008A02DC" w:rsidP="005F2CA0">
            <w:pPr>
              <w:pStyle w:val="ListParagraph"/>
              <w:rPr>
                <w:rFonts w:ascii="Open Sans" w:hAnsi="Open Sans" w:cs="Open Sans"/>
                <w:color w:val="004B88"/>
              </w:rPr>
            </w:pPr>
          </w:p>
        </w:tc>
      </w:tr>
      <w:tr w:rsidR="00AC19D4" w:rsidRPr="00F0381A" w14:paraId="6EDD6968" w14:textId="77777777" w:rsidTr="79C731AC">
        <w:tblPrEx>
          <w:jc w:val="center"/>
        </w:tblPrEx>
        <w:trPr>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14:paraId="4A553AF5" w14:textId="77777777" w:rsidR="00FF0772" w:rsidRPr="00F0381A" w:rsidRDefault="00FF0772" w:rsidP="00E97361">
            <w:pPr>
              <w:pStyle w:val="NormalWeb"/>
              <w:rPr>
                <w:rFonts w:ascii="Open Sans" w:hAnsi="Open Sans" w:cs="Open Sans"/>
                <w:color w:val="FFFFFF"/>
                <w:lang w:val="en-GB"/>
              </w:rPr>
            </w:pPr>
            <w:r w:rsidRPr="00F0381A">
              <w:rPr>
                <w:rFonts w:ascii="Open Sans" w:hAnsi="Open Sans" w:cs="Open Sans"/>
                <w:b/>
                <w:bCs/>
                <w:color w:val="FFFFFF"/>
                <w:lang w:val="en-GB"/>
              </w:rPr>
              <w:t>Person specification</w:t>
            </w:r>
            <w:r w:rsidRPr="00F0381A">
              <w:rPr>
                <w:rFonts w:ascii="Open Sans" w:hAnsi="Open Sans" w:cs="Open Sans"/>
                <w:color w:val="FFFFFF"/>
                <w:lang w:val="en-GB"/>
              </w:rPr>
              <w:t xml:space="preserve"> </w:t>
            </w:r>
          </w:p>
        </w:tc>
      </w:tr>
      <w:tr w:rsidR="003B5DE1" w:rsidRPr="00F0381A" w14:paraId="117DA4CB" w14:textId="77777777" w:rsidTr="00F0381A">
        <w:tblPrEx>
          <w:jc w:val="center"/>
        </w:tblPrEx>
        <w:trPr>
          <w:trHeight w:val="428"/>
          <w:jc w:val="center"/>
        </w:trPr>
        <w:tc>
          <w:tcPr>
            <w:tcW w:w="6925" w:type="dxa"/>
            <w:gridSpan w:val="2"/>
            <w:tcBorders>
              <w:top w:val="single" w:sz="4" w:space="0" w:color="004B88"/>
              <w:left w:val="single" w:sz="4" w:space="0" w:color="004B88"/>
              <w:bottom w:val="single" w:sz="4" w:space="0" w:color="004B88"/>
              <w:right w:val="single" w:sz="4" w:space="0" w:color="004B88"/>
            </w:tcBorders>
            <w:shd w:val="clear" w:color="auto" w:fill="auto"/>
            <w:vAlign w:val="center"/>
          </w:tcPr>
          <w:p w14:paraId="0E27B00A" w14:textId="77777777" w:rsidR="003B5DE1" w:rsidRPr="00F0381A" w:rsidRDefault="003B5DE1" w:rsidP="00E87788">
            <w:pPr>
              <w:widowControl w:val="0"/>
              <w:rPr>
                <w:rFonts w:ascii="Open Sans" w:eastAsia="Open Sans" w:hAnsi="Open Sans" w:cs="Open Sans"/>
                <w:b/>
                <w:color w:val="004B88"/>
              </w:rPr>
            </w:pP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895C2DB" w14:textId="77777777" w:rsidR="003B5DE1" w:rsidRPr="00F0381A" w:rsidRDefault="003B5DE1" w:rsidP="00E87788">
            <w:pPr>
              <w:widowControl w:val="0"/>
              <w:rPr>
                <w:rFonts w:ascii="Open Sans" w:eastAsia="Open Sans" w:hAnsi="Open Sans" w:cs="Open Sans"/>
                <w:b/>
                <w:color w:val="004B88"/>
              </w:rPr>
            </w:pPr>
            <w:r w:rsidRPr="00F0381A">
              <w:rPr>
                <w:rFonts w:ascii="Open Sans" w:eastAsia="Open Sans" w:hAnsi="Open Sans" w:cs="Open Sans"/>
                <w:b/>
                <w:color w:val="004B88"/>
              </w:rPr>
              <w:t>Essential</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248B3EE6" w14:textId="77777777" w:rsidR="003B5DE1" w:rsidRPr="00F0381A" w:rsidRDefault="003B5DE1" w:rsidP="00E87788">
            <w:pPr>
              <w:widowControl w:val="0"/>
              <w:rPr>
                <w:rFonts w:ascii="Open Sans" w:eastAsia="Open Sans" w:hAnsi="Open Sans" w:cs="Open Sans"/>
                <w:b/>
                <w:color w:val="004B88"/>
              </w:rPr>
            </w:pPr>
            <w:r w:rsidRPr="00F0381A">
              <w:rPr>
                <w:rFonts w:ascii="Open Sans" w:eastAsia="Open Sans" w:hAnsi="Open Sans" w:cs="Open Sans"/>
                <w:b/>
                <w:color w:val="004B88"/>
              </w:rPr>
              <w:t>Desirable</w:t>
            </w:r>
          </w:p>
        </w:tc>
      </w:tr>
      <w:tr w:rsidR="00DF6525" w:rsidRPr="00F0381A" w14:paraId="5B839F64"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1343955" w14:textId="0014D7A1" w:rsidR="00DF6525" w:rsidRPr="00F0381A" w:rsidRDefault="00DF6525" w:rsidP="00871721">
            <w:pPr>
              <w:widowControl w:val="0"/>
              <w:rPr>
                <w:rFonts w:ascii="Open Sans" w:eastAsia="Open Sans" w:hAnsi="Open Sans" w:cs="Open Sans"/>
                <w:color w:val="004B88"/>
              </w:rPr>
            </w:pPr>
            <w:r w:rsidRPr="00F0381A">
              <w:rPr>
                <w:rFonts w:ascii="Open Sans" w:eastAsia="Open Sans" w:hAnsi="Open Sans" w:cs="Open Sans"/>
                <w:color w:val="004B88"/>
              </w:rPr>
              <w:t>1.</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B8825BB" w14:textId="0D2005E3" w:rsidR="00DF6525" w:rsidRPr="00F0381A" w:rsidRDefault="00305B0A" w:rsidP="00305B0A">
            <w:pPr>
              <w:spacing w:after="160" w:line="259" w:lineRule="auto"/>
              <w:contextualSpacing/>
              <w:jc w:val="both"/>
              <w:rPr>
                <w:rFonts w:ascii="Open Sans" w:eastAsiaTheme="minorHAnsi" w:hAnsi="Open Sans" w:cs="Open Sans"/>
                <w:color w:val="1F4E79" w:themeColor="accent1" w:themeShade="80"/>
                <w:lang w:eastAsia="en-US"/>
              </w:rPr>
            </w:pPr>
            <w:r w:rsidRPr="00F0381A">
              <w:rPr>
                <w:rFonts w:ascii="Open Sans" w:eastAsiaTheme="minorHAnsi" w:hAnsi="Open Sans" w:cs="Open Sans"/>
                <w:color w:val="1F4E79" w:themeColor="accent1" w:themeShade="80"/>
                <w:lang w:eastAsia="en-US"/>
              </w:rPr>
              <w:t>Demonstrable experience of working in an analytical role within the third sector or equivalent setting.</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11C4515" w14:textId="792C7F88" w:rsidR="00DF6525" w:rsidRPr="00F0381A" w:rsidRDefault="00DF6525" w:rsidP="00871721">
            <w:pPr>
              <w:widowControl w:val="0"/>
              <w:jc w:val="center"/>
              <w:rPr>
                <w:rFonts w:ascii="Wingdings" w:eastAsia="Wingdings" w:hAnsi="Wingdings" w:cs="Wingding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49321C7" w14:textId="77777777" w:rsidR="00DF6525" w:rsidRPr="00F0381A" w:rsidRDefault="00DF6525" w:rsidP="00871721">
            <w:pPr>
              <w:widowControl w:val="0"/>
              <w:jc w:val="center"/>
              <w:rPr>
                <w:rFonts w:ascii="Open Sans" w:eastAsia="Open Sans" w:hAnsi="Open Sans" w:cs="Open Sans"/>
                <w:b/>
                <w:color w:val="004B88"/>
              </w:rPr>
            </w:pPr>
          </w:p>
        </w:tc>
      </w:tr>
      <w:tr w:rsidR="00DF6525" w:rsidRPr="00F0381A" w14:paraId="4E27CC62"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983443E" w14:textId="484EDCE3" w:rsidR="00DF6525" w:rsidRPr="00F0381A" w:rsidRDefault="00DF6525" w:rsidP="00871721">
            <w:pPr>
              <w:widowControl w:val="0"/>
              <w:rPr>
                <w:rFonts w:ascii="Open Sans" w:eastAsia="Open Sans" w:hAnsi="Open Sans" w:cs="Open Sans"/>
                <w:color w:val="004B88"/>
              </w:rPr>
            </w:pPr>
            <w:r w:rsidRPr="00F0381A">
              <w:rPr>
                <w:rFonts w:ascii="Open Sans" w:eastAsia="Open Sans" w:hAnsi="Open Sans" w:cs="Open Sans"/>
                <w:color w:val="004B88"/>
              </w:rPr>
              <w:t>2.</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BDDD212" w14:textId="11B98BDD" w:rsidR="00DF6525" w:rsidRPr="00F0381A" w:rsidRDefault="00305B0A" w:rsidP="005F2CA0">
            <w:pPr>
              <w:spacing w:after="160" w:line="259" w:lineRule="auto"/>
              <w:contextualSpacing/>
              <w:jc w:val="both"/>
              <w:rPr>
                <w:rFonts w:ascii="Open Sans" w:eastAsiaTheme="minorHAnsi" w:hAnsi="Open Sans" w:cs="Open Sans"/>
                <w:color w:val="1F4E79" w:themeColor="accent1" w:themeShade="80"/>
                <w:lang w:eastAsia="en-US"/>
              </w:rPr>
            </w:pPr>
            <w:r w:rsidRPr="00F0381A">
              <w:rPr>
                <w:rFonts w:ascii="Open Sans" w:eastAsiaTheme="minorHAnsi" w:hAnsi="Open Sans" w:cs="Open Sans"/>
                <w:color w:val="1F4E79" w:themeColor="accent1" w:themeShade="80"/>
                <w:lang w:eastAsia="en-US"/>
              </w:rPr>
              <w:t>Proven experience in data analysis, reporting and presenting data insights to various stakeholders, both internally and externally</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27D0C452" w14:textId="766608D4" w:rsidR="00DF6525" w:rsidRPr="00F0381A" w:rsidRDefault="00DF6525" w:rsidP="00871721">
            <w:pPr>
              <w:widowControl w:val="0"/>
              <w:jc w:val="center"/>
              <w:rPr>
                <w:rFonts w:ascii="Wingdings" w:eastAsia="Wingdings" w:hAnsi="Wingdings" w:cs="Wingding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F085815" w14:textId="77777777" w:rsidR="00DF6525" w:rsidRPr="00F0381A" w:rsidRDefault="00DF6525" w:rsidP="00871721">
            <w:pPr>
              <w:widowControl w:val="0"/>
              <w:jc w:val="center"/>
              <w:rPr>
                <w:rFonts w:ascii="Open Sans" w:eastAsia="Open Sans" w:hAnsi="Open Sans" w:cs="Open Sans"/>
                <w:b/>
                <w:color w:val="004B88"/>
              </w:rPr>
            </w:pPr>
          </w:p>
        </w:tc>
      </w:tr>
      <w:tr w:rsidR="00871721" w:rsidRPr="00F0381A" w14:paraId="09D3BD28"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135CBF0" w14:textId="5B786A5D" w:rsidR="00871721" w:rsidRPr="00F0381A" w:rsidRDefault="00A35746" w:rsidP="00871721">
            <w:pPr>
              <w:widowControl w:val="0"/>
              <w:rPr>
                <w:rFonts w:ascii="Open Sans" w:eastAsia="Open Sans" w:hAnsi="Open Sans" w:cs="Open Sans"/>
                <w:color w:val="004B88"/>
              </w:rPr>
            </w:pPr>
            <w:r w:rsidRPr="00F0381A">
              <w:rPr>
                <w:rFonts w:ascii="Open Sans" w:eastAsia="Open Sans" w:hAnsi="Open Sans" w:cs="Open Sans"/>
                <w:color w:val="004B88"/>
              </w:rPr>
              <w:t>3</w:t>
            </w:r>
            <w:r w:rsidR="00DF6525" w:rsidRPr="00F0381A">
              <w:rPr>
                <w:rFonts w:ascii="Open Sans" w:eastAsia="Open Sans" w:hAnsi="Open Sans" w:cs="Open Sans"/>
                <w:color w:val="004B88"/>
              </w:rPr>
              <w:t>.</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0061E4C" w14:textId="53770CCD" w:rsidR="00871721" w:rsidRPr="00F0381A" w:rsidRDefault="00305B0A" w:rsidP="00DF6525">
            <w:pPr>
              <w:rPr>
                <w:rFonts w:ascii="Open Sans" w:eastAsiaTheme="minorHAnsi" w:hAnsi="Open Sans" w:cs="Open Sans"/>
                <w:color w:val="004B88"/>
                <w:lang w:eastAsia="en-US"/>
              </w:rPr>
            </w:pPr>
            <w:r w:rsidRPr="00F0381A">
              <w:rPr>
                <w:rFonts w:ascii="Open Sans" w:eastAsiaTheme="minorHAnsi" w:hAnsi="Open Sans" w:cs="Open Sans"/>
                <w:color w:val="004B88"/>
                <w:lang w:eastAsia="en-US"/>
              </w:rPr>
              <w:t>Proficiency in creating, maintaining and improving reports using MS Excel, Power BI, Tableau and/or equivalent data visualization tools</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4EAFD9C" w14:textId="77777777" w:rsidR="00871721" w:rsidRPr="00F0381A" w:rsidRDefault="00871721" w:rsidP="00871721">
            <w:pPr>
              <w:widowControl w:val="0"/>
              <w:jc w:val="center"/>
              <w:rPr>
                <w:rFonts w:ascii="Open Sans" w:eastAsia="Open Sans" w:hAnsi="Open Sans" w:cs="Open San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B94D5A5" w14:textId="77777777" w:rsidR="00871721" w:rsidRPr="00F0381A" w:rsidRDefault="00871721" w:rsidP="00871721">
            <w:pPr>
              <w:widowControl w:val="0"/>
              <w:jc w:val="center"/>
              <w:rPr>
                <w:rFonts w:ascii="Open Sans" w:eastAsia="Open Sans" w:hAnsi="Open Sans" w:cs="Open Sans"/>
                <w:b/>
                <w:color w:val="004B88"/>
              </w:rPr>
            </w:pPr>
          </w:p>
        </w:tc>
      </w:tr>
      <w:tr w:rsidR="007F7D8F" w:rsidRPr="00F0381A" w14:paraId="085165F6"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C0CE3B1" w14:textId="2544AA79"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4.</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587CDC6" w14:textId="2CB060A6" w:rsidR="007F7D8F" w:rsidRPr="00F0381A" w:rsidRDefault="007F7D8F" w:rsidP="007F7D8F">
            <w:pPr>
              <w:rPr>
                <w:rFonts w:ascii="Open Sans" w:eastAsiaTheme="minorHAnsi" w:hAnsi="Open Sans" w:cs="Open Sans"/>
                <w:color w:val="004B88"/>
                <w:lang w:eastAsia="en-US"/>
              </w:rPr>
            </w:pPr>
            <w:r w:rsidRPr="00F0381A">
              <w:rPr>
                <w:rFonts w:ascii="Open Sans" w:eastAsiaTheme="minorHAnsi" w:hAnsi="Open Sans" w:cs="Open Sans"/>
                <w:color w:val="004B88"/>
                <w:lang w:eastAsia="en-US"/>
              </w:rPr>
              <w:t>Excellent written and verbal communication and interpersonal skills</w:t>
            </w:r>
          </w:p>
        </w:tc>
        <w:tc>
          <w:tcPr>
            <w:tcW w:w="1354" w:type="dxa"/>
            <w:tcBorders>
              <w:top w:val="single" w:sz="4" w:space="0" w:color="004B88"/>
              <w:left w:val="single" w:sz="4" w:space="0" w:color="004B88"/>
              <w:bottom w:val="single" w:sz="4" w:space="0" w:color="004B88"/>
              <w:right w:val="single" w:sz="4" w:space="0" w:color="004B88"/>
            </w:tcBorders>
            <w:shd w:val="clear" w:color="auto" w:fill="auto"/>
          </w:tcPr>
          <w:p w14:paraId="55EE01EA" w14:textId="0E84FF17" w:rsidR="007F7D8F" w:rsidRPr="00F0381A" w:rsidRDefault="007F7D8F" w:rsidP="007F7D8F">
            <w:pPr>
              <w:widowControl w:val="0"/>
              <w:jc w:val="center"/>
              <w:rPr>
                <w:rFonts w:ascii="Wingdings" w:eastAsia="Wingdings" w:hAnsi="Wingdings" w:cs="Wingding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26CC57CF"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63A691C1"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48AEEEA" w14:textId="58819163"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5.</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0FC706E" w14:textId="70FDB8AA" w:rsidR="007F7D8F" w:rsidRPr="00F0381A" w:rsidRDefault="007F7D8F" w:rsidP="007F7D8F">
            <w:pPr>
              <w:rPr>
                <w:rFonts w:ascii="Open Sans" w:eastAsiaTheme="minorHAnsi" w:hAnsi="Open Sans" w:cs="Open Sans"/>
                <w:color w:val="004B88"/>
                <w:lang w:eastAsia="en-US"/>
              </w:rPr>
            </w:pPr>
            <w:r w:rsidRPr="00F0381A">
              <w:rPr>
                <w:rFonts w:ascii="Open Sans" w:eastAsiaTheme="minorHAnsi" w:hAnsi="Open Sans" w:cs="Open Sans"/>
                <w:color w:val="004B88"/>
                <w:lang w:eastAsia="en-US"/>
              </w:rPr>
              <w:t>A strong and committed team player with a strong work ethic and lots of enthusiasm</w:t>
            </w:r>
          </w:p>
        </w:tc>
        <w:tc>
          <w:tcPr>
            <w:tcW w:w="1354" w:type="dxa"/>
            <w:tcBorders>
              <w:top w:val="single" w:sz="4" w:space="0" w:color="004B88"/>
              <w:left w:val="single" w:sz="4" w:space="0" w:color="004B88"/>
              <w:bottom w:val="single" w:sz="4" w:space="0" w:color="004B88"/>
              <w:right w:val="single" w:sz="4" w:space="0" w:color="004B88"/>
            </w:tcBorders>
            <w:shd w:val="clear" w:color="auto" w:fill="auto"/>
          </w:tcPr>
          <w:p w14:paraId="1F721B9B" w14:textId="1F3AC6A9" w:rsidR="007F7D8F" w:rsidRPr="00F0381A" w:rsidRDefault="007F7D8F" w:rsidP="007F7D8F">
            <w:pPr>
              <w:widowControl w:val="0"/>
              <w:jc w:val="center"/>
              <w:rPr>
                <w:rFonts w:ascii="Wingdings" w:eastAsia="Wingdings" w:hAnsi="Wingdings" w:cs="Wingding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799D5A8"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1491CAD3"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20B6B74B" w14:textId="7DB35921"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6.</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CA27C35" w14:textId="43AF98CB" w:rsidR="007F7D8F" w:rsidRPr="00F0381A" w:rsidRDefault="007F7D8F" w:rsidP="007F7D8F">
            <w:pPr>
              <w:spacing w:before="100" w:beforeAutospacing="1" w:after="100" w:afterAutospacing="1"/>
              <w:rPr>
                <w:rFonts w:ascii="Open Sans" w:hAnsi="Open Sans" w:cs="Open Sans"/>
                <w:color w:val="004B88"/>
              </w:rPr>
            </w:pPr>
            <w:r w:rsidRPr="00F0381A">
              <w:rPr>
                <w:rFonts w:ascii="Open Sans" w:hAnsi="Open Sans" w:cs="Open Sans"/>
                <w:color w:val="004B88"/>
              </w:rPr>
              <w:t>A natural multi-tasker who adheres to tight deadlines and thrives in a fast-paced environment</w:t>
            </w:r>
          </w:p>
        </w:tc>
        <w:tc>
          <w:tcPr>
            <w:tcW w:w="1354" w:type="dxa"/>
            <w:tcBorders>
              <w:top w:val="single" w:sz="4" w:space="0" w:color="004B88"/>
              <w:left w:val="single" w:sz="4" w:space="0" w:color="004B88"/>
              <w:bottom w:val="single" w:sz="4" w:space="0" w:color="004B88"/>
              <w:right w:val="single" w:sz="4" w:space="0" w:color="004B88"/>
            </w:tcBorders>
            <w:shd w:val="clear" w:color="auto" w:fill="auto"/>
          </w:tcPr>
          <w:p w14:paraId="2083CD6E" w14:textId="2CE408CD" w:rsidR="007F7D8F" w:rsidRPr="00F0381A" w:rsidRDefault="007F7D8F" w:rsidP="007F7D8F">
            <w:pPr>
              <w:widowControl w:val="0"/>
              <w:jc w:val="center"/>
              <w:rPr>
                <w:rFonts w:ascii="Wingdings" w:eastAsia="Wingdings" w:hAnsi="Wingdings" w:cs="Wingding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7B6CB612"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16DF6C5E"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7886996" w14:textId="55DD7B88"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7.</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148A897" w14:textId="3781C3CF" w:rsidR="007F7D8F" w:rsidRPr="00F0381A" w:rsidRDefault="007F7D8F" w:rsidP="00C934FE">
            <w:pPr>
              <w:spacing w:before="100" w:beforeAutospacing="1" w:after="100" w:afterAutospacing="1"/>
              <w:rPr>
                <w:rFonts w:ascii="Open Sans" w:hAnsi="Open Sans" w:cs="Open Sans"/>
                <w:color w:val="004B88"/>
              </w:rPr>
            </w:pPr>
            <w:r w:rsidRPr="00F0381A">
              <w:rPr>
                <w:rFonts w:ascii="Open Sans" w:hAnsi="Open Sans" w:cs="Open Sans"/>
                <w:color w:val="004B88"/>
              </w:rPr>
              <w:t>Ability to research, analyse and interpret complex information and produce and present clear re</w:t>
            </w:r>
            <w:r w:rsidRPr="00F0381A">
              <w:rPr>
                <w:rFonts w:ascii="Open Sans" w:hAnsi="Open Sans" w:cs="Open Sans"/>
                <w:color w:val="1F4E79" w:themeColor="accent1" w:themeShade="80"/>
              </w:rPr>
              <w:t xml:space="preserve">ports </w:t>
            </w:r>
            <w:r w:rsidRPr="00F0381A">
              <w:rPr>
                <w:rFonts w:ascii="Open Sans" w:hAnsi="Open Sans" w:cs="Open Sans"/>
                <w:color w:val="004B88"/>
              </w:rPr>
              <w:t>verbally and in writing</w:t>
            </w:r>
            <w:r w:rsidR="00C934FE">
              <w:rPr>
                <w:rFonts w:ascii="Open Sans" w:hAnsi="Open Sans" w:cs="Open Sans"/>
                <w:color w:val="004B88"/>
              </w:rPr>
              <w:t>.</w:t>
            </w:r>
            <w:bookmarkStart w:id="0" w:name="_GoBack"/>
            <w:bookmarkEnd w:id="0"/>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DEEC669" w14:textId="77777777" w:rsidR="007F7D8F" w:rsidRPr="00F0381A" w:rsidRDefault="007F7D8F" w:rsidP="007F7D8F">
            <w:pPr>
              <w:widowControl w:val="0"/>
              <w:jc w:val="center"/>
              <w:rPr>
                <w:rFonts w:ascii="Open Sans" w:eastAsia="Open Sans" w:hAnsi="Open Sans" w:cs="Open San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656B9AB"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03ED72A9"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F75A9DD" w14:textId="256DD2C7"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8.</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6EEC53C" w14:textId="77777777" w:rsidR="007F7D8F" w:rsidRPr="00F0381A" w:rsidRDefault="007F7D8F" w:rsidP="007F7D8F">
            <w:pPr>
              <w:spacing w:before="100" w:beforeAutospacing="1" w:after="100" w:afterAutospacing="1"/>
              <w:rPr>
                <w:rFonts w:ascii="Open Sans" w:hAnsi="Open Sans" w:cs="Open Sans"/>
                <w:color w:val="004B88"/>
              </w:rPr>
            </w:pPr>
            <w:r w:rsidRPr="00F0381A">
              <w:rPr>
                <w:rFonts w:ascii="Open Sans" w:hAnsi="Open Sans" w:cs="Open Sans"/>
                <w:color w:val="004B88"/>
              </w:rPr>
              <w:t xml:space="preserve">Ability to use a variety of IT/digital systems and packages. </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5FB0818" w14:textId="77777777" w:rsidR="007F7D8F" w:rsidRPr="00F0381A" w:rsidRDefault="007F7D8F" w:rsidP="007F7D8F">
            <w:pPr>
              <w:widowControl w:val="0"/>
              <w:jc w:val="center"/>
              <w:rPr>
                <w:rFonts w:ascii="Open Sans" w:eastAsia="Open Sans" w:hAnsi="Open Sans" w:cs="Open San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49F31CB"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39B70FFD"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6C72689" w14:textId="25127163"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9.</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A9AE036" w14:textId="77777777"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Ability to give and receive feedback objectively and sensitively and a willingness to challenge constructively.</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101652C" w14:textId="77777777" w:rsidR="007F7D8F" w:rsidRPr="00F0381A" w:rsidRDefault="007F7D8F" w:rsidP="007F7D8F">
            <w:pPr>
              <w:widowControl w:val="0"/>
              <w:jc w:val="center"/>
              <w:rPr>
                <w:rFonts w:ascii="Open Sans" w:eastAsia="Open Sans" w:hAnsi="Open Sans" w:cs="Open San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B99056E"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595168BA"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BC6DBBF" w14:textId="4E3EE5D5"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10.</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62DE1D0" w14:textId="77777777"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Ability to work with a variety of organisations and to earn and maintain the trust and respect of those people with whom the organisation deals</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299C43A" w14:textId="77777777" w:rsidR="007F7D8F" w:rsidRPr="00F0381A" w:rsidRDefault="007F7D8F" w:rsidP="007F7D8F">
            <w:pPr>
              <w:widowControl w:val="0"/>
              <w:jc w:val="center"/>
              <w:rPr>
                <w:rFonts w:ascii="Open Sans" w:eastAsia="Open Sans" w:hAnsi="Open Sans" w:cs="Open San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DDBEF00"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4E4AC97C"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5CB103B" w14:textId="5E03EF66"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11.</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24635FCB" w14:textId="645B3A59"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 xml:space="preserve">Proven understanding of equality and diversity </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461D779" w14:textId="77777777" w:rsidR="007F7D8F" w:rsidRPr="00F0381A" w:rsidRDefault="007F7D8F" w:rsidP="007F7D8F">
            <w:pPr>
              <w:widowControl w:val="0"/>
              <w:jc w:val="center"/>
              <w:rPr>
                <w:rFonts w:ascii="Open Sans" w:eastAsia="Open Sans" w:hAnsi="Open Sans" w:cs="Open San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CF2D8B6"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1A906A55"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DF6D3BA" w14:textId="5803FFC8"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12.</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DA94BB8" w14:textId="77777777"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 xml:space="preserve">Understanding of the issues affecting society and their implications for clients and service provision and a </w:t>
            </w:r>
            <w:r w:rsidRPr="00F0381A">
              <w:rPr>
                <w:rFonts w:ascii="Open Sans" w:eastAsia="Open Sans" w:hAnsi="Open Sans" w:cs="Open Sans"/>
                <w:color w:val="004B88"/>
              </w:rPr>
              <w:lastRenderedPageBreak/>
              <w:t>commitment to the organisations research &amp; campaigns programme</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FB78278" w14:textId="77777777" w:rsidR="007F7D8F" w:rsidRPr="00F0381A" w:rsidRDefault="007F7D8F" w:rsidP="007F7D8F">
            <w:pPr>
              <w:widowControl w:val="0"/>
              <w:jc w:val="center"/>
              <w:rPr>
                <w:rFonts w:ascii="Open Sans" w:eastAsia="Open Sans" w:hAnsi="Open Sans" w:cs="Open Sans"/>
                <w:b/>
                <w:color w:val="004B88"/>
              </w:rPr>
            </w:pPr>
            <w:r w:rsidRPr="00F0381A">
              <w:rPr>
                <w:rFonts w:ascii="Wingdings" w:eastAsia="Wingdings" w:hAnsi="Wingdings" w:cs="Wingdings"/>
                <w:b/>
                <w:color w:val="004B88"/>
              </w:rPr>
              <w:lastRenderedPageBreak/>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1FC39945"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308B1312"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F57406D" w14:textId="01CA861A"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lastRenderedPageBreak/>
              <w:t>13.</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49D9BB68" w14:textId="77777777"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Understanding of and commitment to the aims and principles of Citizens Advice service and its equal opportunities policies.</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0562CB0E" w14:textId="77777777" w:rsidR="007F7D8F" w:rsidRPr="00F0381A" w:rsidRDefault="007F7D8F" w:rsidP="007F7D8F">
            <w:pPr>
              <w:widowControl w:val="0"/>
              <w:jc w:val="center"/>
              <w:rPr>
                <w:rFonts w:ascii="Open Sans" w:eastAsia="Open Sans" w:hAnsi="Open Sans" w:cs="Open San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4CE0A41" w14:textId="77777777" w:rsidR="007F7D8F" w:rsidRPr="00F0381A" w:rsidRDefault="007F7D8F" w:rsidP="007F7D8F">
            <w:pPr>
              <w:widowControl w:val="0"/>
              <w:jc w:val="center"/>
              <w:rPr>
                <w:rFonts w:ascii="Open Sans" w:eastAsia="Open Sans" w:hAnsi="Open Sans" w:cs="Open Sans"/>
                <w:b/>
                <w:color w:val="004B88"/>
              </w:rPr>
            </w:pPr>
          </w:p>
        </w:tc>
      </w:tr>
      <w:tr w:rsidR="007F7D8F" w:rsidRPr="00F0381A" w14:paraId="35618E0A" w14:textId="77777777" w:rsidTr="00F0381A">
        <w:tblPrEx>
          <w:jc w:val="center"/>
        </w:tblPrEx>
        <w:trPr>
          <w:trHeight w:val="428"/>
          <w:jc w:val="center"/>
        </w:trPr>
        <w:tc>
          <w:tcPr>
            <w:tcW w:w="61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5F682803" w14:textId="1BF082F7"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14.</w:t>
            </w:r>
          </w:p>
        </w:tc>
        <w:tc>
          <w:tcPr>
            <w:tcW w:w="6311" w:type="dxa"/>
            <w:tcBorders>
              <w:top w:val="single" w:sz="4" w:space="0" w:color="004B88"/>
              <w:left w:val="single" w:sz="4" w:space="0" w:color="004B88"/>
              <w:bottom w:val="single" w:sz="4" w:space="0" w:color="004B88"/>
              <w:right w:val="single" w:sz="4" w:space="0" w:color="004B88"/>
            </w:tcBorders>
            <w:shd w:val="clear" w:color="auto" w:fill="auto"/>
            <w:vAlign w:val="center"/>
          </w:tcPr>
          <w:p w14:paraId="332602AA" w14:textId="77777777" w:rsidR="007F7D8F" w:rsidRPr="00F0381A" w:rsidRDefault="007F7D8F" w:rsidP="007F7D8F">
            <w:pPr>
              <w:widowControl w:val="0"/>
              <w:rPr>
                <w:rFonts w:ascii="Open Sans" w:eastAsia="Open Sans" w:hAnsi="Open Sans" w:cs="Open Sans"/>
                <w:color w:val="004B88"/>
              </w:rPr>
            </w:pPr>
            <w:r w:rsidRPr="00F0381A">
              <w:rPr>
                <w:rFonts w:ascii="Open Sans" w:eastAsia="Open Sans" w:hAnsi="Open Sans" w:cs="Open Sans"/>
                <w:color w:val="004B88"/>
              </w:rPr>
              <w:t>Commitment to continuing professional development</w:t>
            </w:r>
          </w:p>
        </w:tc>
        <w:tc>
          <w:tcPr>
            <w:tcW w:w="1354"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2EBF3C5" w14:textId="77777777" w:rsidR="007F7D8F" w:rsidRPr="00F0381A" w:rsidRDefault="007F7D8F" w:rsidP="007F7D8F">
            <w:pPr>
              <w:widowControl w:val="0"/>
              <w:jc w:val="center"/>
              <w:rPr>
                <w:rFonts w:ascii="Open Sans" w:eastAsia="Open Sans" w:hAnsi="Open Sans" w:cs="Open Sans"/>
                <w:b/>
                <w:color w:val="004B88"/>
              </w:rPr>
            </w:pPr>
            <w:r w:rsidRPr="00F0381A">
              <w:rPr>
                <w:rFonts w:ascii="Wingdings" w:eastAsia="Wingdings" w:hAnsi="Wingdings" w:cs="Wingdings"/>
                <w:b/>
                <w:color w:val="004B88"/>
              </w:rPr>
              <w:t></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14:paraId="6D98A12B" w14:textId="77777777" w:rsidR="007F7D8F" w:rsidRPr="00F0381A" w:rsidRDefault="007F7D8F" w:rsidP="007F7D8F">
            <w:pPr>
              <w:widowControl w:val="0"/>
              <w:jc w:val="center"/>
              <w:rPr>
                <w:rFonts w:ascii="Open Sans" w:eastAsia="Open Sans" w:hAnsi="Open Sans" w:cs="Open Sans"/>
                <w:b/>
                <w:color w:val="004B88"/>
              </w:rPr>
            </w:pPr>
          </w:p>
        </w:tc>
      </w:tr>
    </w:tbl>
    <w:p w14:paraId="2946DB82" w14:textId="77777777" w:rsidR="00993146" w:rsidRPr="00F0381A" w:rsidRDefault="00993146" w:rsidP="000B573D">
      <w:pPr>
        <w:rPr>
          <w:rFonts w:ascii="Open Sans" w:hAnsi="Open Sans" w:cs="Open Sans"/>
          <w:color w:val="004B88"/>
        </w:rPr>
      </w:pPr>
    </w:p>
    <w:p w14:paraId="7DDD52A8" w14:textId="576788D3" w:rsidR="009763B4" w:rsidRPr="00F0381A" w:rsidRDefault="009763B4" w:rsidP="009763B4">
      <w:pPr>
        <w:jc w:val="both"/>
      </w:pPr>
      <w:r w:rsidRPr="00F0381A">
        <w:rPr>
          <w:rFonts w:ascii="Open Sans" w:hAnsi="Open Sans" w:cs="Open Sans"/>
          <w:color w:val="004888"/>
        </w:rPr>
        <w:t xml:space="preserve">In accordance with Citizens Advice national policy we may </w:t>
      </w:r>
      <w:r w:rsidR="007F7D8F" w:rsidRPr="00F0381A">
        <w:rPr>
          <w:rFonts w:ascii="Open Sans" w:hAnsi="Open Sans" w:cs="Open Sans"/>
          <w:color w:val="004888"/>
        </w:rPr>
        <w:t xml:space="preserve">ask </w:t>
      </w:r>
      <w:r w:rsidRPr="00F0381A">
        <w:rPr>
          <w:rFonts w:ascii="Open Sans" w:hAnsi="Open Sans" w:cs="Open Sans"/>
          <w:color w:val="004888"/>
        </w:rPr>
        <w:t>the successful candidate to be screened by the DBS. However, a criminal record will not necessarily be a bar to your being able to take up the job.</w:t>
      </w:r>
    </w:p>
    <w:p w14:paraId="5997CC1D" w14:textId="77777777" w:rsidR="009763B4" w:rsidRPr="00F0381A" w:rsidRDefault="009763B4" w:rsidP="000B573D">
      <w:pPr>
        <w:rPr>
          <w:rFonts w:ascii="Open Sans" w:hAnsi="Open Sans" w:cs="Open Sans"/>
          <w:color w:val="004B88"/>
        </w:rPr>
      </w:pPr>
    </w:p>
    <w:sectPr w:rsidR="009763B4" w:rsidRPr="00F0381A" w:rsidSect="0026761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0BB6" w14:textId="77777777" w:rsidR="00F95568" w:rsidRDefault="00F95568" w:rsidP="00F073A9">
      <w:r>
        <w:separator/>
      </w:r>
    </w:p>
  </w:endnote>
  <w:endnote w:type="continuationSeparator" w:id="0">
    <w:p w14:paraId="33451CC6" w14:textId="77777777" w:rsidR="00F95568" w:rsidRDefault="00F95568" w:rsidP="00F0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7609" w14:textId="0227E3B5" w:rsidR="00313720" w:rsidRPr="00AC19D4" w:rsidRDefault="00D0032E" w:rsidP="00D0032E">
    <w:pPr>
      <w:pStyle w:val="Footer"/>
      <w:rPr>
        <w:rFonts w:ascii="Calibri" w:hAnsi="Calibri"/>
        <w:color w:val="004B88"/>
        <w:sz w:val="20"/>
        <w:szCs w:val="20"/>
      </w:rPr>
    </w:pPr>
    <w:r>
      <w:rPr>
        <w:rFonts w:ascii="Calibri" w:hAnsi="Calibri"/>
        <w:color w:val="004B88"/>
        <w:sz w:val="20"/>
        <w:szCs w:val="20"/>
      </w:rPr>
      <w:t xml:space="preserve">August 2023                                                                             </w:t>
    </w:r>
    <w:r w:rsidR="00313720" w:rsidRPr="00AC19D4">
      <w:rPr>
        <w:rFonts w:ascii="Calibri" w:hAnsi="Calibri"/>
        <w:color w:val="004B88"/>
        <w:sz w:val="20"/>
        <w:szCs w:val="20"/>
      </w:rPr>
      <w:t xml:space="preserve">Page </w:t>
    </w:r>
    <w:r w:rsidR="00313720" w:rsidRPr="00AC19D4">
      <w:rPr>
        <w:rFonts w:ascii="Calibri" w:hAnsi="Calibri"/>
        <w:color w:val="004B88"/>
        <w:sz w:val="20"/>
        <w:szCs w:val="20"/>
      </w:rPr>
      <w:fldChar w:fldCharType="begin"/>
    </w:r>
    <w:r w:rsidR="00313720" w:rsidRPr="00AC19D4">
      <w:rPr>
        <w:rFonts w:ascii="Calibri" w:hAnsi="Calibri"/>
        <w:color w:val="004B88"/>
        <w:sz w:val="20"/>
        <w:szCs w:val="20"/>
      </w:rPr>
      <w:instrText xml:space="preserve"> PAGE </w:instrText>
    </w:r>
    <w:r w:rsidR="00313720" w:rsidRPr="00AC19D4">
      <w:rPr>
        <w:rFonts w:ascii="Calibri" w:hAnsi="Calibri"/>
        <w:color w:val="004B88"/>
        <w:sz w:val="20"/>
        <w:szCs w:val="20"/>
      </w:rPr>
      <w:fldChar w:fldCharType="separate"/>
    </w:r>
    <w:r w:rsidR="00C934FE">
      <w:rPr>
        <w:rFonts w:ascii="Calibri" w:hAnsi="Calibri"/>
        <w:noProof/>
        <w:color w:val="004B88"/>
        <w:sz w:val="20"/>
        <w:szCs w:val="20"/>
      </w:rPr>
      <w:t>4</w:t>
    </w:r>
    <w:r w:rsidR="00313720" w:rsidRPr="00AC19D4">
      <w:rPr>
        <w:rFonts w:ascii="Calibri" w:hAnsi="Calibri"/>
        <w:color w:val="004B88"/>
        <w:sz w:val="20"/>
        <w:szCs w:val="20"/>
      </w:rPr>
      <w:fldChar w:fldCharType="end"/>
    </w:r>
    <w:r w:rsidR="00313720" w:rsidRPr="00AC19D4">
      <w:rPr>
        <w:rFonts w:ascii="Calibri" w:hAnsi="Calibri"/>
        <w:color w:val="004B88"/>
        <w:sz w:val="20"/>
        <w:szCs w:val="20"/>
      </w:rPr>
      <w:t xml:space="preserve"> of </w:t>
    </w:r>
    <w:r w:rsidR="00313720" w:rsidRPr="00AC19D4">
      <w:rPr>
        <w:rFonts w:ascii="Calibri" w:hAnsi="Calibri"/>
        <w:color w:val="004B88"/>
        <w:sz w:val="20"/>
        <w:szCs w:val="20"/>
      </w:rPr>
      <w:fldChar w:fldCharType="begin"/>
    </w:r>
    <w:r w:rsidR="00313720" w:rsidRPr="00AC19D4">
      <w:rPr>
        <w:rFonts w:ascii="Calibri" w:hAnsi="Calibri"/>
        <w:color w:val="004B88"/>
        <w:sz w:val="20"/>
        <w:szCs w:val="20"/>
      </w:rPr>
      <w:instrText xml:space="preserve"> NUMPAGES </w:instrText>
    </w:r>
    <w:r w:rsidR="00313720" w:rsidRPr="00AC19D4">
      <w:rPr>
        <w:rFonts w:ascii="Calibri" w:hAnsi="Calibri"/>
        <w:color w:val="004B88"/>
        <w:sz w:val="20"/>
        <w:szCs w:val="20"/>
      </w:rPr>
      <w:fldChar w:fldCharType="separate"/>
    </w:r>
    <w:r w:rsidR="00C934FE">
      <w:rPr>
        <w:rFonts w:ascii="Calibri" w:hAnsi="Calibri"/>
        <w:noProof/>
        <w:color w:val="004B88"/>
        <w:sz w:val="20"/>
        <w:szCs w:val="20"/>
      </w:rPr>
      <w:t>4</w:t>
    </w:r>
    <w:r w:rsidR="00313720" w:rsidRPr="00AC19D4">
      <w:rPr>
        <w:rFonts w:ascii="Calibri" w:hAnsi="Calibri"/>
        <w:color w:val="004B88"/>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9EA0" w14:textId="77777777" w:rsidR="00F95568" w:rsidRDefault="00F95568" w:rsidP="00F073A9">
      <w:r>
        <w:separator/>
      </w:r>
    </w:p>
  </w:footnote>
  <w:footnote w:type="continuationSeparator" w:id="0">
    <w:p w14:paraId="0593A666" w14:textId="77777777" w:rsidR="00F95568" w:rsidRDefault="00F95568" w:rsidP="00F073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2A1"/>
    <w:multiLevelType w:val="hybridMultilevel"/>
    <w:tmpl w:val="D764D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C56E9"/>
    <w:multiLevelType w:val="multilevel"/>
    <w:tmpl w:val="0C3CBD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E1B34"/>
    <w:multiLevelType w:val="multilevel"/>
    <w:tmpl w:val="B72E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755A8"/>
    <w:multiLevelType w:val="hybridMultilevel"/>
    <w:tmpl w:val="9FA62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50228"/>
    <w:multiLevelType w:val="multilevel"/>
    <w:tmpl w:val="EF82D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F4D91"/>
    <w:multiLevelType w:val="multilevel"/>
    <w:tmpl w:val="2E0C04A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20674"/>
    <w:multiLevelType w:val="multilevel"/>
    <w:tmpl w:val="69986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517DD"/>
    <w:multiLevelType w:val="hybridMultilevel"/>
    <w:tmpl w:val="64FC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3B5F7C"/>
    <w:multiLevelType w:val="hybridMultilevel"/>
    <w:tmpl w:val="E4E6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52C88"/>
    <w:multiLevelType w:val="multilevel"/>
    <w:tmpl w:val="0C3CBD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43F20"/>
    <w:multiLevelType w:val="hybridMultilevel"/>
    <w:tmpl w:val="CDF8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33083"/>
    <w:multiLevelType w:val="multilevel"/>
    <w:tmpl w:val="842E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414AF"/>
    <w:multiLevelType w:val="hybridMultilevel"/>
    <w:tmpl w:val="6F6A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F65CC"/>
    <w:multiLevelType w:val="multilevel"/>
    <w:tmpl w:val="BF2A42C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95B15"/>
    <w:multiLevelType w:val="multilevel"/>
    <w:tmpl w:val="D6E0D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93CF5"/>
    <w:multiLevelType w:val="hybridMultilevel"/>
    <w:tmpl w:val="97CC0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030E96"/>
    <w:multiLevelType w:val="multilevel"/>
    <w:tmpl w:val="862CC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B323E"/>
    <w:multiLevelType w:val="multilevel"/>
    <w:tmpl w:val="7B32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A257B4"/>
    <w:multiLevelType w:val="hybridMultilevel"/>
    <w:tmpl w:val="AB6C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7721C"/>
    <w:multiLevelType w:val="hybridMultilevel"/>
    <w:tmpl w:val="D0E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7248F"/>
    <w:multiLevelType w:val="hybridMultilevel"/>
    <w:tmpl w:val="0618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F0336"/>
    <w:multiLevelType w:val="hybridMultilevel"/>
    <w:tmpl w:val="D56E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461A3"/>
    <w:multiLevelType w:val="hybridMultilevel"/>
    <w:tmpl w:val="1074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06548"/>
    <w:multiLevelType w:val="hybridMultilevel"/>
    <w:tmpl w:val="7ED2C8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7F59DF"/>
    <w:multiLevelType w:val="multilevel"/>
    <w:tmpl w:val="358EF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E25034"/>
    <w:multiLevelType w:val="multilevel"/>
    <w:tmpl w:val="42EA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7D4755"/>
    <w:multiLevelType w:val="hybridMultilevel"/>
    <w:tmpl w:val="BCDE0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3401C"/>
    <w:multiLevelType w:val="multilevel"/>
    <w:tmpl w:val="7792A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34F9B"/>
    <w:multiLevelType w:val="hybridMultilevel"/>
    <w:tmpl w:val="82687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36B43"/>
    <w:multiLevelType w:val="hybridMultilevel"/>
    <w:tmpl w:val="4F34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E2884"/>
    <w:multiLevelType w:val="multilevel"/>
    <w:tmpl w:val="187A73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22309E"/>
    <w:multiLevelType w:val="hybridMultilevel"/>
    <w:tmpl w:val="D9484E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DDC728D"/>
    <w:multiLevelType w:val="multilevel"/>
    <w:tmpl w:val="A1BC12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C6230"/>
    <w:multiLevelType w:val="hybridMultilevel"/>
    <w:tmpl w:val="50E6E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094333"/>
    <w:multiLevelType w:val="hybridMultilevel"/>
    <w:tmpl w:val="8B8C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7C7E92"/>
    <w:multiLevelType w:val="multilevel"/>
    <w:tmpl w:val="955681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0F1A81"/>
    <w:multiLevelType w:val="multilevel"/>
    <w:tmpl w:val="0C3CBD9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452F6"/>
    <w:multiLevelType w:val="hybridMultilevel"/>
    <w:tmpl w:val="DC1CCD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7A764689"/>
    <w:multiLevelType w:val="hybridMultilevel"/>
    <w:tmpl w:val="75CCA8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6"/>
  </w:num>
  <w:num w:numId="4">
    <w:abstractNumId w:val="34"/>
  </w:num>
  <w:num w:numId="5">
    <w:abstractNumId w:val="4"/>
  </w:num>
  <w:num w:numId="6">
    <w:abstractNumId w:val="29"/>
  </w:num>
  <w:num w:numId="7">
    <w:abstractNumId w:val="14"/>
  </w:num>
  <w:num w:numId="8">
    <w:abstractNumId w:val="5"/>
  </w:num>
  <w:num w:numId="9">
    <w:abstractNumId w:val="17"/>
  </w:num>
  <w:num w:numId="10">
    <w:abstractNumId w:val="11"/>
  </w:num>
  <w:num w:numId="11">
    <w:abstractNumId w:val="24"/>
  </w:num>
  <w:num w:numId="12">
    <w:abstractNumId w:val="7"/>
  </w:num>
  <w:num w:numId="13">
    <w:abstractNumId w:val="3"/>
  </w:num>
  <w:num w:numId="14">
    <w:abstractNumId w:val="30"/>
  </w:num>
  <w:num w:numId="15">
    <w:abstractNumId w:val="32"/>
  </w:num>
  <w:num w:numId="16">
    <w:abstractNumId w:val="38"/>
  </w:num>
  <w:num w:numId="17">
    <w:abstractNumId w:val="33"/>
  </w:num>
  <w:num w:numId="18">
    <w:abstractNumId w:val="37"/>
  </w:num>
  <w:num w:numId="19">
    <w:abstractNumId w:val="13"/>
  </w:num>
  <w:num w:numId="20">
    <w:abstractNumId w:val="35"/>
  </w:num>
  <w:num w:numId="21">
    <w:abstractNumId w:val="27"/>
  </w:num>
  <w:num w:numId="22">
    <w:abstractNumId w:val="1"/>
  </w:num>
  <w:num w:numId="23">
    <w:abstractNumId w:val="9"/>
  </w:num>
  <w:num w:numId="24">
    <w:abstractNumId w:val="10"/>
  </w:num>
  <w:num w:numId="25">
    <w:abstractNumId w:val="39"/>
  </w:num>
  <w:num w:numId="26">
    <w:abstractNumId w:val="36"/>
  </w:num>
  <w:num w:numId="27">
    <w:abstractNumId w:val="21"/>
  </w:num>
  <w:num w:numId="28">
    <w:abstractNumId w:val="0"/>
  </w:num>
  <w:num w:numId="29">
    <w:abstractNumId w:val="20"/>
  </w:num>
  <w:num w:numId="30">
    <w:abstractNumId w:val="12"/>
  </w:num>
  <w:num w:numId="31">
    <w:abstractNumId w:val="8"/>
  </w:num>
  <w:num w:numId="32">
    <w:abstractNumId w:val="19"/>
  </w:num>
  <w:num w:numId="33">
    <w:abstractNumId w:val="22"/>
  </w:num>
  <w:num w:numId="34">
    <w:abstractNumId w:val="28"/>
  </w:num>
  <w:num w:numId="35">
    <w:abstractNumId w:val="15"/>
  </w:num>
  <w:num w:numId="36">
    <w:abstractNumId w:val="40"/>
  </w:num>
  <w:num w:numId="37">
    <w:abstractNumId w:val="31"/>
  </w:num>
  <w:num w:numId="38">
    <w:abstractNumId w:val="26"/>
  </w:num>
  <w:num w:numId="39">
    <w:abstractNumId w:val="2"/>
  </w:num>
  <w:num w:numId="40">
    <w:abstractNumId w:val="2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46"/>
    <w:rsid w:val="000301E0"/>
    <w:rsid w:val="00035D7B"/>
    <w:rsid w:val="0003618B"/>
    <w:rsid w:val="00047B79"/>
    <w:rsid w:val="00050402"/>
    <w:rsid w:val="00053DCF"/>
    <w:rsid w:val="0007316D"/>
    <w:rsid w:val="000930A6"/>
    <w:rsid w:val="000B573D"/>
    <w:rsid w:val="000C7925"/>
    <w:rsid w:val="000D5731"/>
    <w:rsid w:val="000E120D"/>
    <w:rsid w:val="00115FAB"/>
    <w:rsid w:val="00192C97"/>
    <w:rsid w:val="001A2357"/>
    <w:rsid w:val="001A5848"/>
    <w:rsid w:val="001A77BD"/>
    <w:rsid w:val="001D71D1"/>
    <w:rsid w:val="001E1BE4"/>
    <w:rsid w:val="001F05A8"/>
    <w:rsid w:val="00201D79"/>
    <w:rsid w:val="0021080F"/>
    <w:rsid w:val="00221442"/>
    <w:rsid w:val="002260FC"/>
    <w:rsid w:val="00245173"/>
    <w:rsid w:val="00262B2A"/>
    <w:rsid w:val="002675BD"/>
    <w:rsid w:val="0026761F"/>
    <w:rsid w:val="002745F1"/>
    <w:rsid w:val="002A1EE0"/>
    <w:rsid w:val="002B463F"/>
    <w:rsid w:val="002C258D"/>
    <w:rsid w:val="002E495D"/>
    <w:rsid w:val="00305B0A"/>
    <w:rsid w:val="00313720"/>
    <w:rsid w:val="00325125"/>
    <w:rsid w:val="00325EA0"/>
    <w:rsid w:val="0032744A"/>
    <w:rsid w:val="003318DC"/>
    <w:rsid w:val="00343EB8"/>
    <w:rsid w:val="00376396"/>
    <w:rsid w:val="00393161"/>
    <w:rsid w:val="00396D41"/>
    <w:rsid w:val="003A02D5"/>
    <w:rsid w:val="003A29EF"/>
    <w:rsid w:val="003A48DB"/>
    <w:rsid w:val="003B116F"/>
    <w:rsid w:val="003B4575"/>
    <w:rsid w:val="003B5DE1"/>
    <w:rsid w:val="003C042A"/>
    <w:rsid w:val="003C0704"/>
    <w:rsid w:val="003D4693"/>
    <w:rsid w:val="003E4131"/>
    <w:rsid w:val="003F00E8"/>
    <w:rsid w:val="003F2859"/>
    <w:rsid w:val="003F3786"/>
    <w:rsid w:val="003F52FA"/>
    <w:rsid w:val="00407C30"/>
    <w:rsid w:val="0045369F"/>
    <w:rsid w:val="004614C4"/>
    <w:rsid w:val="00472A03"/>
    <w:rsid w:val="00480B7E"/>
    <w:rsid w:val="004814FD"/>
    <w:rsid w:val="00497E22"/>
    <w:rsid w:val="004C77A4"/>
    <w:rsid w:val="004E1E2E"/>
    <w:rsid w:val="0051766E"/>
    <w:rsid w:val="00540250"/>
    <w:rsid w:val="005448C7"/>
    <w:rsid w:val="0057143F"/>
    <w:rsid w:val="00580FF9"/>
    <w:rsid w:val="00582B30"/>
    <w:rsid w:val="00586B5B"/>
    <w:rsid w:val="005A0D67"/>
    <w:rsid w:val="005A6718"/>
    <w:rsid w:val="005B2725"/>
    <w:rsid w:val="005B755C"/>
    <w:rsid w:val="005C74CE"/>
    <w:rsid w:val="005D2C30"/>
    <w:rsid w:val="005E38F3"/>
    <w:rsid w:val="005F2CA0"/>
    <w:rsid w:val="005F758A"/>
    <w:rsid w:val="005F77E5"/>
    <w:rsid w:val="00611158"/>
    <w:rsid w:val="0061249D"/>
    <w:rsid w:val="00614C19"/>
    <w:rsid w:val="0062136E"/>
    <w:rsid w:val="006228F7"/>
    <w:rsid w:val="006244F7"/>
    <w:rsid w:val="00634B2C"/>
    <w:rsid w:val="00653E20"/>
    <w:rsid w:val="006630DB"/>
    <w:rsid w:val="00672CC4"/>
    <w:rsid w:val="006809EB"/>
    <w:rsid w:val="00692578"/>
    <w:rsid w:val="006B13CA"/>
    <w:rsid w:val="006C6F9C"/>
    <w:rsid w:val="006D4435"/>
    <w:rsid w:val="006F05AF"/>
    <w:rsid w:val="006F72FF"/>
    <w:rsid w:val="007164A8"/>
    <w:rsid w:val="00717BA0"/>
    <w:rsid w:val="00724668"/>
    <w:rsid w:val="00747D9E"/>
    <w:rsid w:val="00753F1D"/>
    <w:rsid w:val="00754951"/>
    <w:rsid w:val="00754C03"/>
    <w:rsid w:val="0076601C"/>
    <w:rsid w:val="007A7826"/>
    <w:rsid w:val="007C39E8"/>
    <w:rsid w:val="007D0A5E"/>
    <w:rsid w:val="007F5FCB"/>
    <w:rsid w:val="007F7D8F"/>
    <w:rsid w:val="00801F07"/>
    <w:rsid w:val="00810B76"/>
    <w:rsid w:val="00867FE9"/>
    <w:rsid w:val="00871721"/>
    <w:rsid w:val="008733DF"/>
    <w:rsid w:val="0088649A"/>
    <w:rsid w:val="008A02DC"/>
    <w:rsid w:val="008A089F"/>
    <w:rsid w:val="008B1844"/>
    <w:rsid w:val="008D2175"/>
    <w:rsid w:val="008D3D7B"/>
    <w:rsid w:val="008D6098"/>
    <w:rsid w:val="008E4942"/>
    <w:rsid w:val="008F3583"/>
    <w:rsid w:val="008F6A07"/>
    <w:rsid w:val="009041F7"/>
    <w:rsid w:val="009134B7"/>
    <w:rsid w:val="009375D5"/>
    <w:rsid w:val="00947AC4"/>
    <w:rsid w:val="00952CAB"/>
    <w:rsid w:val="00957549"/>
    <w:rsid w:val="00957B8E"/>
    <w:rsid w:val="00961A74"/>
    <w:rsid w:val="009715A2"/>
    <w:rsid w:val="00971697"/>
    <w:rsid w:val="00973B95"/>
    <w:rsid w:val="009763B4"/>
    <w:rsid w:val="00976AEB"/>
    <w:rsid w:val="00983544"/>
    <w:rsid w:val="00993146"/>
    <w:rsid w:val="009969A2"/>
    <w:rsid w:val="009C6E45"/>
    <w:rsid w:val="009E45AB"/>
    <w:rsid w:val="00A154DC"/>
    <w:rsid w:val="00A16260"/>
    <w:rsid w:val="00A234EE"/>
    <w:rsid w:val="00A31D6B"/>
    <w:rsid w:val="00A32B7E"/>
    <w:rsid w:val="00A35746"/>
    <w:rsid w:val="00A520CC"/>
    <w:rsid w:val="00A60A91"/>
    <w:rsid w:val="00A7336D"/>
    <w:rsid w:val="00A877A1"/>
    <w:rsid w:val="00AB0331"/>
    <w:rsid w:val="00AC19D4"/>
    <w:rsid w:val="00B0750B"/>
    <w:rsid w:val="00B4097F"/>
    <w:rsid w:val="00B42676"/>
    <w:rsid w:val="00B51D4C"/>
    <w:rsid w:val="00B56078"/>
    <w:rsid w:val="00B62B37"/>
    <w:rsid w:val="00B63102"/>
    <w:rsid w:val="00B769EB"/>
    <w:rsid w:val="00B92434"/>
    <w:rsid w:val="00BF6F70"/>
    <w:rsid w:val="00BF7478"/>
    <w:rsid w:val="00C170BE"/>
    <w:rsid w:val="00C3230F"/>
    <w:rsid w:val="00C44561"/>
    <w:rsid w:val="00C45F88"/>
    <w:rsid w:val="00C51AF7"/>
    <w:rsid w:val="00C558C4"/>
    <w:rsid w:val="00C854D5"/>
    <w:rsid w:val="00C934FE"/>
    <w:rsid w:val="00CD04F3"/>
    <w:rsid w:val="00CE14D2"/>
    <w:rsid w:val="00D0032E"/>
    <w:rsid w:val="00D00897"/>
    <w:rsid w:val="00D11CDC"/>
    <w:rsid w:val="00D14EE2"/>
    <w:rsid w:val="00D175F9"/>
    <w:rsid w:val="00D275DE"/>
    <w:rsid w:val="00D44396"/>
    <w:rsid w:val="00D4730D"/>
    <w:rsid w:val="00D51505"/>
    <w:rsid w:val="00D5152D"/>
    <w:rsid w:val="00D70196"/>
    <w:rsid w:val="00D9555E"/>
    <w:rsid w:val="00DA4FF7"/>
    <w:rsid w:val="00DF6525"/>
    <w:rsid w:val="00E12E64"/>
    <w:rsid w:val="00E217A0"/>
    <w:rsid w:val="00E23794"/>
    <w:rsid w:val="00E303CA"/>
    <w:rsid w:val="00E57771"/>
    <w:rsid w:val="00E75CFB"/>
    <w:rsid w:val="00E87788"/>
    <w:rsid w:val="00E97361"/>
    <w:rsid w:val="00EC50B4"/>
    <w:rsid w:val="00EF0126"/>
    <w:rsid w:val="00F0381A"/>
    <w:rsid w:val="00F073A9"/>
    <w:rsid w:val="00F11C08"/>
    <w:rsid w:val="00F213BE"/>
    <w:rsid w:val="00F235EA"/>
    <w:rsid w:val="00F24163"/>
    <w:rsid w:val="00F27DBA"/>
    <w:rsid w:val="00F37AE9"/>
    <w:rsid w:val="00F66FF8"/>
    <w:rsid w:val="00F85B34"/>
    <w:rsid w:val="00F95568"/>
    <w:rsid w:val="00F96427"/>
    <w:rsid w:val="00FA3C0B"/>
    <w:rsid w:val="00FA68C2"/>
    <w:rsid w:val="00FB2324"/>
    <w:rsid w:val="00FB257B"/>
    <w:rsid w:val="00FC0CDC"/>
    <w:rsid w:val="00FD397D"/>
    <w:rsid w:val="00FE467E"/>
    <w:rsid w:val="00FE4A76"/>
    <w:rsid w:val="00FF0772"/>
    <w:rsid w:val="0643573D"/>
    <w:rsid w:val="15020D99"/>
    <w:rsid w:val="1B42BA88"/>
    <w:rsid w:val="4633C0C1"/>
    <w:rsid w:val="79C7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F489E"/>
  <w15:chartTrackingRefBased/>
  <w15:docId w15:val="{0DAFDB99-CAB6-41D5-911C-5AB07047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1F05A8"/>
    <w:pPr>
      <w:spacing w:before="100" w:beforeAutospacing="1" w:after="100" w:afterAutospacing="1"/>
      <w:outlineLvl w:val="1"/>
    </w:pPr>
    <w:rPr>
      <w:b/>
      <w:bCs/>
      <w:sz w:val="36"/>
      <w:szCs w:val="36"/>
      <w:lang w:val="en-US" w:eastAsia="en-US"/>
    </w:rPr>
  </w:style>
  <w:style w:type="paragraph" w:styleId="Heading3">
    <w:name w:val="heading 3"/>
    <w:basedOn w:val="Normal"/>
    <w:qFormat/>
    <w:rsid w:val="001F05A8"/>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3146"/>
    <w:pPr>
      <w:spacing w:before="100" w:beforeAutospacing="1" w:after="100" w:afterAutospacing="1"/>
    </w:pPr>
    <w:rPr>
      <w:lang w:val="en-US" w:eastAsia="en-US"/>
    </w:rPr>
  </w:style>
  <w:style w:type="table" w:styleId="TableGrid">
    <w:name w:val="Table Grid"/>
    <w:basedOn w:val="TableNormal"/>
    <w:rsid w:val="00BF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39E8"/>
    <w:pPr>
      <w:tabs>
        <w:tab w:val="center" w:pos="4320"/>
        <w:tab w:val="right" w:pos="8640"/>
      </w:tabs>
    </w:pPr>
  </w:style>
  <w:style w:type="paragraph" w:styleId="Footer">
    <w:name w:val="footer"/>
    <w:basedOn w:val="Normal"/>
    <w:rsid w:val="007C39E8"/>
    <w:pPr>
      <w:tabs>
        <w:tab w:val="center" w:pos="4320"/>
        <w:tab w:val="right" w:pos="8640"/>
      </w:tabs>
    </w:pPr>
  </w:style>
  <w:style w:type="paragraph" w:styleId="BalloonText">
    <w:name w:val="Balloon Text"/>
    <w:basedOn w:val="Normal"/>
    <w:link w:val="BalloonTextChar"/>
    <w:rsid w:val="003F3786"/>
    <w:rPr>
      <w:rFonts w:ascii="Segoe UI" w:hAnsi="Segoe UI" w:cs="Segoe UI"/>
      <w:sz w:val="18"/>
      <w:szCs w:val="18"/>
    </w:rPr>
  </w:style>
  <w:style w:type="character" w:customStyle="1" w:styleId="BalloonTextChar">
    <w:name w:val="Balloon Text Char"/>
    <w:link w:val="BalloonText"/>
    <w:rsid w:val="003F3786"/>
    <w:rPr>
      <w:rFonts w:ascii="Segoe UI" w:hAnsi="Segoe UI" w:cs="Segoe UI"/>
      <w:sz w:val="18"/>
      <w:szCs w:val="18"/>
    </w:rPr>
  </w:style>
  <w:style w:type="paragraph" w:styleId="Revision">
    <w:name w:val="Revision"/>
    <w:hidden/>
    <w:uiPriority w:val="99"/>
    <w:semiHidden/>
    <w:rsid w:val="002C258D"/>
    <w:rPr>
      <w:sz w:val="24"/>
      <w:szCs w:val="24"/>
    </w:rPr>
  </w:style>
  <w:style w:type="paragraph" w:styleId="ListParagraph">
    <w:name w:val="List Paragraph"/>
    <w:basedOn w:val="Normal"/>
    <w:uiPriority w:val="34"/>
    <w:qFormat/>
    <w:rsid w:val="003E4131"/>
    <w:pPr>
      <w:ind w:left="720"/>
      <w:contextualSpacing/>
    </w:pPr>
  </w:style>
  <w:style w:type="character" w:styleId="Hyperlink">
    <w:name w:val="Hyperlink"/>
    <w:basedOn w:val="DefaultParagraphFont"/>
    <w:rsid w:val="00DF6525"/>
    <w:rPr>
      <w:color w:val="0563C1" w:themeColor="hyperlink"/>
      <w:u w:val="single"/>
    </w:rPr>
  </w:style>
  <w:style w:type="paragraph" w:customStyle="1" w:styleId="paragraph">
    <w:name w:val="paragraph"/>
    <w:basedOn w:val="Normal"/>
    <w:rsid w:val="007F7D8F"/>
    <w:pPr>
      <w:spacing w:before="100" w:beforeAutospacing="1" w:after="100" w:afterAutospacing="1"/>
    </w:pPr>
  </w:style>
  <w:style w:type="character" w:customStyle="1" w:styleId="normaltextrun">
    <w:name w:val="normaltextrun"/>
    <w:basedOn w:val="DefaultParagraphFont"/>
    <w:rsid w:val="007F7D8F"/>
  </w:style>
  <w:style w:type="character" w:customStyle="1" w:styleId="eop">
    <w:name w:val="eop"/>
    <w:basedOn w:val="DefaultParagraphFont"/>
    <w:rsid w:val="007F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75519">
      <w:bodyDiv w:val="1"/>
      <w:marLeft w:val="0"/>
      <w:marRight w:val="0"/>
      <w:marTop w:val="0"/>
      <w:marBottom w:val="0"/>
      <w:divBdr>
        <w:top w:val="none" w:sz="0" w:space="0" w:color="auto"/>
        <w:left w:val="none" w:sz="0" w:space="0" w:color="auto"/>
        <w:bottom w:val="none" w:sz="0" w:space="0" w:color="auto"/>
        <w:right w:val="none" w:sz="0" w:space="0" w:color="auto"/>
      </w:divBdr>
    </w:div>
    <w:div w:id="1348871217">
      <w:bodyDiv w:val="1"/>
      <w:marLeft w:val="0"/>
      <w:marRight w:val="0"/>
      <w:marTop w:val="0"/>
      <w:marBottom w:val="0"/>
      <w:divBdr>
        <w:top w:val="none" w:sz="0" w:space="0" w:color="auto"/>
        <w:left w:val="none" w:sz="0" w:space="0" w:color="auto"/>
        <w:bottom w:val="none" w:sz="0" w:space="0" w:color="auto"/>
        <w:right w:val="none" w:sz="0" w:space="0" w:color="auto"/>
      </w:divBdr>
      <w:divsChild>
        <w:div w:id="1472406993">
          <w:marLeft w:val="0"/>
          <w:marRight w:val="0"/>
          <w:marTop w:val="0"/>
          <w:marBottom w:val="0"/>
          <w:divBdr>
            <w:top w:val="none" w:sz="0" w:space="0" w:color="auto"/>
            <w:left w:val="none" w:sz="0" w:space="0" w:color="auto"/>
            <w:bottom w:val="none" w:sz="0" w:space="0" w:color="auto"/>
            <w:right w:val="none" w:sz="0" w:space="0" w:color="auto"/>
          </w:divBdr>
          <w:divsChild>
            <w:div w:id="270095044">
              <w:marLeft w:val="0"/>
              <w:marRight w:val="0"/>
              <w:marTop w:val="0"/>
              <w:marBottom w:val="0"/>
              <w:divBdr>
                <w:top w:val="none" w:sz="0" w:space="0" w:color="auto"/>
                <w:left w:val="none" w:sz="0" w:space="0" w:color="auto"/>
                <w:bottom w:val="none" w:sz="0" w:space="0" w:color="auto"/>
                <w:right w:val="none" w:sz="0" w:space="0" w:color="auto"/>
              </w:divBdr>
              <w:divsChild>
                <w:div w:id="986738042">
                  <w:marLeft w:val="0"/>
                  <w:marRight w:val="0"/>
                  <w:marTop w:val="0"/>
                  <w:marBottom w:val="0"/>
                  <w:divBdr>
                    <w:top w:val="none" w:sz="0" w:space="0" w:color="auto"/>
                    <w:left w:val="none" w:sz="0" w:space="0" w:color="auto"/>
                    <w:bottom w:val="none" w:sz="0" w:space="0" w:color="auto"/>
                    <w:right w:val="none" w:sz="0" w:space="0" w:color="auto"/>
                  </w:divBdr>
                  <w:divsChild>
                    <w:div w:id="17602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043719">
      <w:bodyDiv w:val="1"/>
      <w:marLeft w:val="0"/>
      <w:marRight w:val="0"/>
      <w:marTop w:val="0"/>
      <w:marBottom w:val="0"/>
      <w:divBdr>
        <w:top w:val="none" w:sz="0" w:space="0" w:color="auto"/>
        <w:left w:val="none" w:sz="0" w:space="0" w:color="auto"/>
        <w:bottom w:val="none" w:sz="0" w:space="0" w:color="auto"/>
        <w:right w:val="none" w:sz="0" w:space="0" w:color="auto"/>
      </w:divBdr>
    </w:div>
    <w:div w:id="1719010869">
      <w:bodyDiv w:val="1"/>
      <w:marLeft w:val="0"/>
      <w:marRight w:val="0"/>
      <w:marTop w:val="0"/>
      <w:marBottom w:val="0"/>
      <w:divBdr>
        <w:top w:val="none" w:sz="0" w:space="0" w:color="auto"/>
        <w:left w:val="none" w:sz="0" w:space="0" w:color="auto"/>
        <w:bottom w:val="none" w:sz="0" w:space="0" w:color="auto"/>
        <w:right w:val="none" w:sz="0" w:space="0" w:color="auto"/>
      </w:divBdr>
    </w:div>
    <w:div w:id="20245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FE8448F1723458B43AF37D67B4435" ma:contentTypeVersion="9" ma:contentTypeDescription="Create a new document." ma:contentTypeScope="" ma:versionID="be7dba9a5089755e4f061f3eb3d3a51c">
  <xsd:schema xmlns:xsd="http://www.w3.org/2001/XMLSchema" xmlns:xs="http://www.w3.org/2001/XMLSchema" xmlns:p="http://schemas.microsoft.com/office/2006/metadata/properties" xmlns:ns3="3cc0734f-b88b-4cfe-91b8-b7e1cb63a708" xmlns:ns4="af241c36-4f21-4e53-bdf6-26415ea93619" targetNamespace="http://schemas.microsoft.com/office/2006/metadata/properties" ma:root="true" ma:fieldsID="d5bc4b01332797505612414d4e7466b6" ns3:_="" ns4:_="">
    <xsd:import namespace="3cc0734f-b88b-4cfe-91b8-b7e1cb63a708"/>
    <xsd:import namespace="af241c36-4f21-4e53-bdf6-26415ea936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734f-b88b-4cfe-91b8-b7e1cb63a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241c36-4f21-4e53-bdf6-26415ea936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cc0734f-b88b-4cfe-91b8-b7e1cb63a708" xsi:nil="true"/>
  </documentManagement>
</p:properties>
</file>

<file path=customXml/itemProps1.xml><?xml version="1.0" encoding="utf-8"?>
<ds:datastoreItem xmlns:ds="http://schemas.openxmlformats.org/officeDocument/2006/customXml" ds:itemID="{84AECA08-1027-49E1-84B9-53E572E49EA8}">
  <ds:schemaRefs>
    <ds:schemaRef ds:uri="http://schemas.microsoft.com/sharepoint/v3/contenttype/forms"/>
  </ds:schemaRefs>
</ds:datastoreItem>
</file>

<file path=customXml/itemProps2.xml><?xml version="1.0" encoding="utf-8"?>
<ds:datastoreItem xmlns:ds="http://schemas.openxmlformats.org/officeDocument/2006/customXml" ds:itemID="{0FA18BF1-6F37-48D6-8BBB-78605A7DB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734f-b88b-4cfe-91b8-b7e1cb63a708"/>
    <ds:schemaRef ds:uri="af241c36-4f21-4e53-bdf6-26415ea9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07FF2-5A29-45F4-93AF-804D85559D3B}">
  <ds:schemaRefs>
    <ds:schemaRef ds:uri="http://schemas.microsoft.com/office/2006/metadata/properties"/>
    <ds:schemaRef ds:uri="http://schemas.microsoft.com/office/infopath/2007/PartnerControls"/>
    <ds:schemaRef ds:uri="3cc0734f-b88b-4cfe-91b8-b7e1cb63a7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Advice Session Supervisor job description and person specification</vt:lpstr>
    </vt:vector>
  </TitlesOfParts>
  <Company>C.A.B</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Session Supervisor job description and person specification</dc:title>
  <dc:subject/>
  <dc:creator>dixp</dc:creator>
  <cp:keywords/>
  <dc:description/>
  <cp:lastModifiedBy>Aimee Walsh</cp:lastModifiedBy>
  <cp:revision>3</cp:revision>
  <cp:lastPrinted>2019-09-06T11:35:00Z</cp:lastPrinted>
  <dcterms:created xsi:type="dcterms:W3CDTF">2023-08-08T07:53:00Z</dcterms:created>
  <dcterms:modified xsi:type="dcterms:W3CDTF">2023-08-16T09:55:00Z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0x010100EBAFE8448F1723458B43AF37D67B4435</vt:lpwstr>
  </property>
</Properties>
</file>